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_rels/header3.xml.rels" ContentType="application/vnd.openxmlformats-package.relationships+xml"/>
  <Override PartName="/word/_rels/header2.xml.rels" ContentType="application/vnd.openxmlformats-package.relationship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_rels/item1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ind w:end="-30"/>
        <w:rPr>
          <w:sz w:val="22"/>
          <w:lang w:val="en-US"/>
        </w:rPr>
      </w:pPr>
      <w:r>
        <w:rPr>
          <w:sz w:val="22"/>
          <w:lang w:val="en-US"/>
        </w:rPr>
        <mc:AlternateContent>
          <mc:Choice Requires="wps">
            <w:drawing>
              <wp:anchor behindDoc="0" distT="0" distB="13970" distL="0" distR="19050" simplePos="0" locked="0" layoutInCell="1" allowOverlap="1" relativeHeight="12" wp14:anchorId="61864F4D">
                <wp:simplePos x="0" y="0"/>
                <wp:positionH relativeFrom="column">
                  <wp:posOffset>3188335</wp:posOffset>
                </wp:positionH>
                <wp:positionV relativeFrom="paragraph">
                  <wp:posOffset>116205</wp:posOffset>
                </wp:positionV>
                <wp:extent cx="3333750" cy="652780"/>
                <wp:effectExtent l="5080" t="5080" r="5080" b="5080"/>
                <wp:wrapNone/>
                <wp:docPr id="1" name="Text Box 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600" cy="6526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FrameContents"/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caps/>
                                <w:sz w:val="22"/>
                                <w:szCs w:val="28"/>
                                <w:lang w:val="bg-BG"/>
                              </w:rPr>
                              <w:t>ОНКОЛОГИЧНИ ЗАБОЛЯВАНИЯ</w:t>
                            </w:r>
                          </w:p>
                          <w:p>
                            <w:pPr>
                              <w:pStyle w:val="FrameContents"/>
                              <w:spacing w:lineRule="auto" w:line="276"/>
                              <w:rPr>
                                <w:b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smallCaps/>
                                <w:sz w:val="24"/>
                                <w:szCs w:val="24"/>
                                <w:lang w:val="bg-BG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lang w:val="bg-BG"/>
                              </w:rPr>
                              <w:t>Пациент №_________________</w:t>
                            </w:r>
                          </w:p>
                          <w:p>
                            <w:pPr>
                              <w:pStyle w:val="FrameContents"/>
                              <w:spacing w:lineRule="auto" w:line="276"/>
                              <w:rPr>
                                <w:b/>
                                <w:lang w:val="bg-BG"/>
                              </w:rPr>
                            </w:pPr>
                            <w:r>
                              <w:rPr>
                                <w:b/>
                                <w:lang w:val="bg-BG"/>
                              </w:rPr>
                              <w:t>Изолиране № ________________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251.05pt;margin-top:9.15pt;width:262.45pt;height:51.35pt;mso-wrap-style:square;v-text-anchor:top" wp14:anchorId="61864F4D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FrameContents"/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</w:pPr>
                      <w:r>
                        <w:rPr>
                          <w:b/>
                          <w:caps/>
                          <w:sz w:val="22"/>
                          <w:szCs w:val="28"/>
                          <w:lang w:val="bg-BG"/>
                        </w:rPr>
                        <w:t>ОНКОЛОГИЧНИ ЗАБОЛЯВАНИЯ</w:t>
                      </w:r>
                    </w:p>
                    <w:p>
                      <w:pPr>
                        <w:pStyle w:val="FrameContents"/>
                        <w:spacing w:lineRule="auto" w:line="276"/>
                        <w:rPr>
                          <w:b/>
                          <w:lang w:val="bg-BG"/>
                        </w:rPr>
                      </w:pPr>
                      <w:r>
                        <w:rPr>
                          <w:b/>
                          <w:smallCaps/>
                          <w:sz w:val="24"/>
                          <w:szCs w:val="24"/>
                          <w:lang w:val="bg-BG"/>
                        </w:rPr>
                        <w:t xml:space="preserve"> </w:t>
                      </w:r>
                      <w:r>
                        <w:rPr>
                          <w:b/>
                          <w:lang w:val="bg-BG"/>
                        </w:rPr>
                        <w:t>Пациент №_________________</w:t>
                      </w:r>
                    </w:p>
                    <w:p>
                      <w:pPr>
                        <w:pStyle w:val="FrameContents"/>
                        <w:spacing w:lineRule="auto" w:line="276"/>
                        <w:rPr>
                          <w:b/>
                          <w:lang w:val="bg-BG"/>
                        </w:rPr>
                      </w:pPr>
                      <w:r>
                        <w:rPr>
                          <w:b/>
                          <w:lang w:val="bg-BG"/>
                        </w:rPr>
                        <w:t>Изолиране № ________________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start="-540" w:end="-30"/>
        <w:rPr>
          <w:sz w:val="22"/>
          <w:lang w:val="en-US"/>
        </w:rPr>
      </w:pPr>
      <w:r>
        <w:rPr>
          <w:sz w:val="22"/>
          <w:lang w:val="en-US"/>
        </w:rPr>
      </w:r>
    </w:p>
    <w:p>
      <w:pPr>
        <w:pStyle w:val="Normal"/>
        <w:ind w:start="-540" w:end="-30"/>
        <w:rPr>
          <w:sz w:val="22"/>
          <w:lang w:val="en-US"/>
        </w:rPr>
      </w:pPr>
      <w:r>
        <w:rPr>
          <w:sz w:val="22"/>
          <w:lang w:val="en-US"/>
        </w:rPr>
      </w:r>
    </w:p>
    <w:p>
      <w:pPr>
        <w:pStyle w:val="BodyText"/>
        <w:jc w:val="start"/>
        <w:rPr>
          <w:rFonts w:ascii="Times New Roman" w:hAnsi="Times New Roman"/>
          <w:b w:val="false"/>
          <w:sz w:val="16"/>
          <w:lang w:val="ru-RU"/>
        </w:rPr>
      </w:pPr>
      <w:r>
        <w:rPr>
          <w:rFonts w:ascii="Times New Roman" w:hAnsi="Times New Roman"/>
          <w:b w:val="false"/>
          <w:sz w:val="16"/>
        </w:rPr>
        <w:t>[______][______][___</w:t>
      </w:r>
      <w:r>
        <w:rPr>
          <w:rFonts w:ascii="Times New Roman" w:hAnsi="Times New Roman"/>
          <w:b w:val="false"/>
          <w:sz w:val="16"/>
          <w:lang w:val="ru-RU"/>
        </w:rPr>
        <w:t>_</w:t>
      </w:r>
      <w:r>
        <w:rPr>
          <w:rFonts w:ascii="Times New Roman" w:hAnsi="Times New Roman"/>
          <w:b w:val="false"/>
          <w:sz w:val="16"/>
        </w:rPr>
        <w:t>______</w:t>
      </w:r>
      <w:r>
        <w:rPr>
          <w:rFonts w:ascii="Times New Roman" w:hAnsi="Times New Roman"/>
          <w:b w:val="false"/>
          <w:sz w:val="16"/>
          <w:lang w:val="ru-RU"/>
        </w:rPr>
        <w:t>]</w:t>
      </w:r>
      <w:r>
        <w:rPr>
          <w:lang w:val="en-US"/>
        </w:rPr>
        <w:tab/>
      </w:r>
    </w:p>
    <w:p>
      <w:pPr>
        <w:pStyle w:val="Normal"/>
        <w:ind w:firstLine="540" w:start="-540" w:end="-30"/>
        <w:rPr>
          <w:lang w:val="en-US"/>
        </w:rPr>
      </w:pPr>
      <w:r>
        <w:rPr>
          <w:i/>
          <w:sz w:val="16"/>
          <w:lang w:val="ru-RU"/>
        </w:rPr>
        <w:t xml:space="preserve">         </w:t>
      </w:r>
      <w:r>
        <w:rPr>
          <w:i/>
          <w:sz w:val="16"/>
          <w:lang w:val="en-US"/>
        </w:rPr>
        <w:t xml:space="preserve">    </w:t>
      </w:r>
      <w:r>
        <w:rPr>
          <w:i/>
          <w:sz w:val="16"/>
          <w:lang w:val="ru-RU"/>
        </w:rPr>
        <w:t xml:space="preserve">   </w:t>
      </w:r>
      <w:r>
        <w:rPr>
          <w:i/>
          <w:sz w:val="16"/>
          <w:lang w:val="en-US"/>
        </w:rPr>
        <w:t>(</w:t>
      </w:r>
      <w:r>
        <w:rPr>
          <w:sz w:val="16"/>
        </w:rPr>
        <w:t>дата)</w:t>
      </w:r>
    </w:p>
    <w:p>
      <w:pPr>
        <w:pStyle w:val="Normal"/>
        <w:spacing w:lineRule="auto" w:line="360"/>
        <w:ind w:end="-30"/>
        <w:jc w:val="center"/>
        <w:rPr>
          <w:b/>
          <w:sz w:val="12"/>
          <w:lang w:val="bg-BG"/>
        </w:rPr>
      </w:pPr>
      <w:r>
        <w:rPr>
          <w:b/>
          <w:sz w:val="12"/>
          <w:lang w:val="bg-BG"/>
        </w:rPr>
      </w:r>
    </w:p>
    <w:p>
      <w:pPr>
        <w:pStyle w:val="Normal"/>
        <w:ind w:end="-30"/>
        <w:jc w:val="center"/>
        <w:rPr>
          <w:b/>
          <w:sz w:val="24"/>
          <w:lang w:val="bg-BG"/>
        </w:rPr>
      </w:pPr>
      <w:r>
        <w:rPr>
          <w:b/>
          <w:sz w:val="24"/>
          <w:lang w:val="bg-BG"/>
        </w:rPr>
        <w:t>ПОРЪЧКА ЗА ИЗВЪРШВАНЕ НА ДНК АНАЛИЗ</w:t>
      </w:r>
    </w:p>
    <w:p>
      <w:pPr>
        <w:pStyle w:val="Normal"/>
        <w:ind w:end="-30"/>
        <w:rPr>
          <w:sz w:val="16"/>
          <w:szCs w:val="28"/>
          <w:lang w:val="bg-BG"/>
        </w:rPr>
      </w:pPr>
      <w:r>
        <w:rPr>
          <w:b/>
          <w:bCs/>
          <w:color w:val="000000"/>
        </w:rPr>
        <w:t>НАСОЧВАЩ ЛЕКАР</w:t>
      </w:r>
      <w:r>
        <w:rPr>
          <w:b/>
          <w:bCs/>
          <w:color w:val="000000"/>
          <w:sz w:val="16"/>
          <w:szCs w:val="16"/>
        </w:rPr>
        <w:t>:</w:t>
      </w:r>
    </w:p>
    <w:p>
      <w:pPr>
        <w:pStyle w:val="Normal"/>
        <w:ind w:end="-30"/>
        <w:rPr>
          <w:sz w:val="24"/>
          <w:szCs w:val="24"/>
          <w:lang w:val="en-US" w:eastAsia="en-US"/>
        </w:rPr>
      </w:pPr>
      <w:r>
        <w:rPr>
          <w:color w:val="000000"/>
          <w:sz w:val="16"/>
          <w:szCs w:val="16"/>
          <w:lang w:val="en-US" w:eastAsia="en-US"/>
        </w:rPr>
        <w:t>[__________________________________________________________________________][______][______][_________][______________________ ]</w:t>
      </w:r>
    </w:p>
    <w:p>
      <w:pPr>
        <w:pStyle w:val="Normal"/>
        <w:ind w:start="3119" w:end="-30"/>
        <w:rPr>
          <w:sz w:val="24"/>
          <w:szCs w:val="24"/>
          <w:lang w:val="en-US" w:eastAsia="en-US"/>
        </w:rPr>
      </w:pPr>
      <w:r>
        <w:rPr>
          <w:i/>
          <w:iCs/>
          <w:color w:val="000000"/>
          <w:sz w:val="18"/>
          <w:szCs w:val="18"/>
          <w:lang w:val="en-US" w:eastAsia="en-US"/>
        </w:rPr>
        <w:t>(име, фамилия)                                                  (дата)</w:t>
        <w:tab/>
        <w:t>                                (подпис)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color w:val="000000"/>
          <w:sz w:val="16"/>
          <w:szCs w:val="16"/>
          <w:lang w:val="en-US" w:eastAsia="en-US"/>
        </w:rPr>
        <w:t>[</w:t>
      </w:r>
      <w:r>
        <w:rPr>
          <w:color w:val="000000"/>
          <w:sz w:val="16"/>
          <w:szCs w:val="16"/>
          <w:lang w:val="en-US" w:eastAsia="en-US"/>
        </w:rPr>
        <w:t>__________________________________________________________________________________</w:t>
      </w:r>
      <w:r>
        <w:rPr>
          <w:b/>
          <w:bCs/>
          <w:color w:val="000000"/>
          <w:sz w:val="16"/>
          <w:szCs w:val="16"/>
          <w:lang w:val="en-US" w:eastAsia="en-US"/>
        </w:rPr>
        <w:t>][</w:t>
      </w:r>
      <w:r>
        <w:rPr>
          <w:color w:val="000000"/>
          <w:sz w:val="16"/>
          <w:szCs w:val="16"/>
          <w:lang w:val="en-US" w:eastAsia="en-US"/>
        </w:rPr>
        <w:t>_________________________________________</w:t>
      </w:r>
      <w:r>
        <w:rPr>
          <w:b/>
          <w:bCs/>
          <w:color w:val="000000"/>
          <w:sz w:val="16"/>
          <w:szCs w:val="16"/>
          <w:lang w:val="en-US" w:eastAsia="en-US"/>
        </w:rPr>
        <w:t>]</w:t>
      </w:r>
      <w:r>
        <w:rPr>
          <w:color w:val="000000"/>
          <w:sz w:val="16"/>
          <w:szCs w:val="16"/>
          <w:lang w:val="en-US" w:eastAsia="en-US"/>
        </w:rPr>
        <w:tab/>
        <w:tab/>
        <w:tab/>
        <w:tab/>
      </w:r>
      <w:r>
        <w:rPr>
          <w:i/>
          <w:iCs/>
          <w:color w:val="000000"/>
          <w:sz w:val="18"/>
          <w:szCs w:val="18"/>
          <w:lang w:val="en-US" w:eastAsia="en-US"/>
        </w:rPr>
        <w:t>(здравно заведение/клиника)</w:t>
        <w:tab/>
        <w:tab/>
        <w:t>                          (телефон/ email)</w:t>
      </w:r>
    </w:p>
    <w:p>
      <w:pPr>
        <w:pStyle w:val="Normal"/>
        <w:rPr>
          <w:b/>
          <w:bCs/>
          <w:color w:val="000000"/>
          <w:u w:val="single"/>
          <w:lang w:val="en-US" w:eastAsia="en-US"/>
        </w:rPr>
      </w:pPr>
      <w:r>
        <w:rPr>
          <w:b/>
          <w:bCs/>
          <w:color w:val="000000"/>
          <w:u w:val="single"/>
          <w:lang w:val="en-US" w:eastAsia="en-US"/>
        </w:rPr>
        <w:t>ОСНОВАНИЕ ЗА НАСОЧВАНЕ:</w:t>
      </w:r>
    </w:p>
    <w:p>
      <w:pPr>
        <w:pStyle w:val="Normal"/>
        <w:rPr>
          <w:b/>
          <w:bCs/>
          <w:color w:val="000000"/>
          <w:lang w:val="en-US" w:eastAsia="en-US"/>
        </w:rPr>
      </w:pPr>
      <w:r>
        <w:rPr>
          <w:b/>
          <w:bCs/>
          <w:color w:val="000000"/>
          <w:lang w:val="en-US" w:eastAsia="en-US"/>
        </w:rPr>
        <w:t xml:space="preserve"> </w:t>
      </w:r>
      <w:r>
        <w:rPr>
          <w:b/>
          <w:bCs/>
          <w:color w:val="000000"/>
          <w:lang w:val="en-US" w:eastAsia="en-US"/>
        </w:rPr>
        <w:t>Генетична диагноза</w:t>
        <w:tab/>
        <w:tab/>
        <w:tab/>
        <w:t> Изследване носителство на известна мутация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color w:val="000000"/>
          <w:lang w:val="en-US" w:eastAsia="en-US"/>
        </w:rPr>
        <w:t xml:space="preserve"> </w:t>
      </w:r>
      <w:r>
        <w:rPr>
          <w:b/>
          <w:bCs/>
          <w:color w:val="000000"/>
          <w:lang w:val="en-US" w:eastAsia="en-US"/>
        </w:rPr>
        <w:t>Прогностични маркери</w:t>
        <w:tab/>
        <w:tab/>
        <w:t> Предиктивни маркери</w:t>
      </w:r>
    </w:p>
    <w:p>
      <w:pPr>
        <w:pStyle w:val="Normal"/>
        <w:numPr>
          <w:ilvl w:val="0"/>
          <w:numId w:val="0"/>
        </w:numPr>
        <w:spacing w:before="120" w:after="0"/>
        <w:outlineLvl w:val="0"/>
        <w:rPr>
          <w:b/>
          <w:bCs/>
          <w:kern w:val="2"/>
          <w:sz w:val="48"/>
          <w:szCs w:val="48"/>
          <w:lang w:val="en-US" w:eastAsia="en-US"/>
        </w:rPr>
      </w:pPr>
      <w:r>
        <w:rPr>
          <w:b/>
          <w:bCs/>
          <w:color w:val="000000"/>
          <w:kern w:val="2"/>
          <w:lang w:val="en-US" w:eastAsia="en-US"/>
        </w:rPr>
        <w:t>НАЛИЦЕ СА СЛЕДНИТЕ ЗАДЪЛЖИТЕЛНИ ДОКУМЕНТИ И МАТЕРИАЛ, за включване в изследването:</w:t>
      </w:r>
    </w:p>
    <w:p>
      <w:pPr>
        <w:pStyle w:val="Normal"/>
        <w:shd w:val="clear" w:color="auto" w:fill="E6E6E6"/>
        <w:rPr>
          <w:sz w:val="16"/>
          <w:szCs w:val="16"/>
          <w:lang w:val="en-US" w:eastAsia="en-US"/>
        </w:rPr>
      </w:pP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ДА  </w:t>
      </w: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НЕ  ЕПИКРИЗА</w:t>
        <w:tab/>
        <w:tab/>
        <w:tab/>
        <w:tab/>
        <w:tab/>
        <w:tab/>
      </w: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ДА  </w:t>
      </w: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НЕ родословно дърво</w:t>
      </w:r>
    </w:p>
    <w:p>
      <w:pPr>
        <w:pStyle w:val="Normal"/>
        <w:shd w:val="clear" w:color="auto" w:fill="E6E6E6"/>
        <w:rPr>
          <w:sz w:val="16"/>
          <w:szCs w:val="16"/>
          <w:lang w:val="en-US" w:eastAsia="en-US"/>
        </w:rPr>
      </w:pP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ДА  </w:t>
      </w: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НЕ  ПИСМЕНА МЕДИКОГЕНЕТИЧНА КОНСУЛТАЦИЯ</w:t>
        <w:tab/>
        <w:tab/>
      </w: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ДА  </w:t>
      </w: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НЕ Свеж биопсичен материал /НОРМА/</w:t>
      </w:r>
    </w:p>
    <w:p>
      <w:pPr>
        <w:pStyle w:val="Normal"/>
        <w:shd w:val="clear" w:color="auto" w:fill="E6E6E6"/>
        <w:rPr>
          <w:b/>
          <w:bCs/>
          <w:color w:val="000000"/>
          <w:sz w:val="16"/>
          <w:szCs w:val="16"/>
          <w:lang w:val="en-US" w:eastAsia="en-US"/>
        </w:rPr>
      </w:pP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ДА  </w:t>
      </w: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НЕ  ВЗЕТО Е ПИСМЕНО СЪГЛАСИЕ ЗА ДНК / РНК АНАЛИЗ</w:t>
        <w:tab/>
      </w: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ДА  </w:t>
      </w: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НЕ Свеж биопсичен материал /ТУМОР/</w:t>
      </w:r>
    </w:p>
    <w:p>
      <w:pPr>
        <w:pStyle w:val="Normal"/>
        <w:shd w:val="clear" w:color="auto" w:fill="E6E6E6"/>
        <w:rPr>
          <w:b/>
          <w:bCs/>
          <w:color w:val="000000"/>
          <w:sz w:val="16"/>
          <w:szCs w:val="16"/>
          <w:lang w:val="en-US" w:eastAsia="en-US"/>
        </w:rPr>
      </w:pP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ДА  </w:t>
      </w: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НЕ  КРЪВ с K</w:t>
      </w:r>
      <w:r>
        <w:rPr>
          <w:b/>
          <w:bCs/>
          <w:color w:val="000000"/>
          <w:sz w:val="16"/>
          <w:szCs w:val="16"/>
          <w:vertAlign w:val="subscript"/>
          <w:lang w:val="en-US" w:eastAsia="en-US"/>
        </w:rPr>
        <w:t>2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EDTA (</w:t>
      </w:r>
      <w:r>
        <w:rPr>
          <w:color w:val="000000"/>
          <w:sz w:val="16"/>
          <w:szCs w:val="16"/>
          <w:lang w:val="en-US" w:eastAsia="en-US"/>
        </w:rPr>
        <w:t>виолетов вакутейнер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)  </w:t>
      </w:r>
      <w:r>
        <w:rPr>
          <w:b/>
          <w:bCs/>
          <w:color w:val="000000"/>
          <w:sz w:val="16"/>
          <w:szCs w:val="16"/>
          <w:u w:val="single"/>
          <w:lang w:val="en-US" w:eastAsia="en-US"/>
        </w:rPr>
        <w:t>НЕ ЗАМРАЗЯВАЙ!</w:t>
      </w:r>
      <w:r>
        <w:rPr>
          <w:b/>
          <w:bCs/>
          <w:color w:val="000000"/>
          <w:sz w:val="16"/>
          <w:szCs w:val="16"/>
          <w:lang w:val="en-US" w:eastAsia="en-US"/>
        </w:rPr>
        <w:tab/>
      </w: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ДА  </w:t>
      </w:r>
      <w:r>
        <w:rPr>
          <w:rFonts w:cs="Segoe UI Symbol" w:ascii="Segoe UI Symbol" w:hAnsi="Segoe UI Symbol"/>
          <w:b/>
          <w:bCs/>
          <w:color w:val="000000"/>
          <w:sz w:val="16"/>
          <w:szCs w:val="16"/>
          <w:lang w:val="en-US" w:eastAsia="en-US"/>
        </w:rPr>
        <w:t>❒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НЕ Материал от парафинов блок/ТУМОР/</w:t>
      </w:r>
    </w:p>
    <w:p>
      <w:pPr>
        <w:pStyle w:val="Normal"/>
        <w:shd w:val="clear" w:color="auto" w:fill="E6E6E6"/>
        <w:rPr>
          <w:b/>
          <w:bCs/>
          <w:color w:val="000000"/>
          <w:sz w:val="16"/>
          <w:szCs w:val="16"/>
          <w:lang w:val="en-US" w:eastAsia="en-US"/>
        </w:rPr>
      </w:pPr>
      <w:r>
        <w:rPr>
          <w:b/>
          <w:bCs/>
          <w:color w:val="000000"/>
          <w:sz w:val="16"/>
          <w:szCs w:val="16"/>
          <w:lang w:val="en-US" w:eastAsia="en-US"/>
        </w:rPr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color w:val="000000"/>
          <w:lang w:val="en-US" w:eastAsia="en-US"/>
        </w:rPr>
        <w:t>ИНДЕКСЕН ПАЦИЕНТ/ПРОБАНД: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color w:val="000000"/>
          <w:sz w:val="16"/>
          <w:szCs w:val="16"/>
          <w:lang w:val="en-US" w:eastAsia="en-US"/>
        </w:rPr>
        <w:t>[___________________________________________________________________________________________][_________________________________]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i/>
          <w:iCs/>
          <w:color w:val="000000"/>
          <w:sz w:val="18"/>
          <w:szCs w:val="18"/>
          <w:lang w:val="en-US" w:eastAsia="en-US"/>
        </w:rPr>
        <w:tab/>
        <w:tab/>
        <w:tab/>
        <w:tab/>
        <w:tab/>
        <w:t>Трите имена</w:t>
      </w:r>
      <w:r>
        <w:rPr>
          <w:b/>
          <w:bCs/>
          <w:color w:val="000000"/>
          <w:sz w:val="18"/>
          <w:szCs w:val="18"/>
          <w:lang w:val="en-US" w:eastAsia="en-US"/>
        </w:rPr>
        <w:t xml:space="preserve"> </w:t>
        <w:tab/>
        <w:tab/>
        <w:tab/>
        <w:tab/>
        <w:tab/>
        <w:t xml:space="preserve">     </w:t>
      </w:r>
      <w:r>
        <w:rPr>
          <w:i/>
          <w:iCs/>
          <w:color w:val="000000"/>
          <w:sz w:val="18"/>
          <w:szCs w:val="18"/>
          <w:lang w:val="en-US" w:eastAsia="en-US"/>
        </w:rPr>
        <w:t>ЕГН / дата на раждане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color w:val="000000"/>
          <w:sz w:val="16"/>
          <w:szCs w:val="16"/>
          <w:lang w:val="en-US" w:eastAsia="en-US"/>
        </w:rPr>
        <w:t>[____________________________________________________________________________________________][________________________________]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i/>
          <w:iCs/>
          <w:color w:val="000000"/>
          <w:sz w:val="18"/>
          <w:szCs w:val="18"/>
          <w:lang w:val="en-US" w:eastAsia="en-US"/>
        </w:rPr>
        <w:tab/>
        <w:tab/>
        <w:tab/>
        <w:tab/>
        <w:t>Пълен домашен адрес</w:t>
      </w:r>
      <w:r>
        <w:rPr>
          <w:i/>
          <w:iCs/>
          <w:color w:val="000000"/>
          <w:lang w:val="en-US" w:eastAsia="en-US"/>
        </w:rPr>
        <w:t>  и email</w:t>
      </w:r>
      <w:r>
        <w:rPr>
          <w:i/>
          <w:iCs/>
          <w:color w:val="000000"/>
          <w:sz w:val="16"/>
          <w:szCs w:val="16"/>
          <w:lang w:val="en-US" w:eastAsia="en-US"/>
        </w:rPr>
        <w:t>:</w:t>
      </w:r>
      <w:r>
        <w:rPr>
          <w:i/>
          <w:iCs/>
          <w:color w:val="000000"/>
          <w:sz w:val="18"/>
          <w:szCs w:val="18"/>
          <w:lang w:val="en-US" w:eastAsia="en-US"/>
        </w:rPr>
        <w:tab/>
        <w:tab/>
        <w:tab/>
        <w:tab/>
        <w:tab/>
        <w:t>Телефон 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color w:val="000000"/>
          <w:sz w:val="16"/>
          <w:szCs w:val="16"/>
          <w:lang w:val="en-US" w:eastAsia="en-US"/>
        </w:rPr>
        <w:t>[__________________________________][_______________________________________________________][__________________________________]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i/>
          <w:iCs/>
          <w:color w:val="000000"/>
          <w:sz w:val="18"/>
          <w:szCs w:val="18"/>
          <w:lang w:val="en-US" w:eastAsia="en-US"/>
        </w:rPr>
        <w:t>       </w:t>
      </w:r>
      <w:r>
        <w:rPr>
          <w:i/>
          <w:iCs/>
          <w:color w:val="000000"/>
          <w:sz w:val="18"/>
          <w:szCs w:val="18"/>
          <w:lang w:val="en-US" w:eastAsia="en-US"/>
        </w:rPr>
        <w:t>Етническа принадлежност</w:t>
        <w:tab/>
        <w:tab/>
        <w:tab/>
        <w:t>  Професия</w:t>
        <w:tab/>
        <w:tab/>
        <w:tab/>
        <w:t xml:space="preserve">             Телефон за връзка с роднина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color w:val="000000"/>
          <w:sz w:val="16"/>
          <w:szCs w:val="16"/>
          <w:u w:val="single"/>
          <w:lang w:val="en-US" w:eastAsia="en-US"/>
        </w:rPr>
        <w:t>[______________________________________________________________________________________</w:t>
      </w:r>
      <w:r>
        <w:rPr>
          <w:b/>
          <w:bCs/>
          <w:color w:val="000000"/>
          <w:sz w:val="16"/>
          <w:szCs w:val="16"/>
          <w:lang w:val="en-US" w:eastAsia="en-US"/>
        </w:rPr>
        <w:t>][</w:t>
      </w:r>
      <w:r>
        <w:rPr>
          <w:b/>
          <w:bCs/>
          <w:color w:val="000000"/>
          <w:sz w:val="16"/>
          <w:szCs w:val="16"/>
          <w:u w:val="single"/>
          <w:lang w:val="en-US" w:eastAsia="en-US"/>
        </w:rPr>
        <w:t>______________________________________</w:t>
      </w:r>
      <w:r>
        <w:rPr>
          <w:b/>
          <w:bCs/>
          <w:color w:val="000000"/>
          <w:sz w:val="16"/>
          <w:szCs w:val="16"/>
          <w:lang w:val="en-US" w:eastAsia="en-US"/>
        </w:rPr>
        <w:t>]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i/>
          <w:iCs/>
          <w:color w:val="000000"/>
          <w:sz w:val="18"/>
          <w:szCs w:val="18"/>
          <w:lang w:val="en-US" w:eastAsia="en-US"/>
        </w:rPr>
        <w:tab/>
        <w:tab/>
        <w:tab/>
        <w:tab/>
        <w:t>Диагноза</w:t>
        <w:tab/>
        <w:tab/>
        <w:tab/>
        <w:tab/>
        <w:tab/>
        <w:t>                              Стадиране по TNM 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i/>
          <w:iCs/>
          <w:color w:val="000000"/>
          <w:sz w:val="18"/>
          <w:szCs w:val="18"/>
          <w:lang w:val="en-US" w:eastAsia="en-US"/>
        </w:rPr>
        <w:t>Моля, маркирайте вярното: Вид тумор - първичен/вторичен; Хистологично диференциране - Силно / Средно / Слабо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color w:val="000000"/>
          <w:sz w:val="18"/>
          <w:szCs w:val="18"/>
          <w:lang w:val="en-US" w:eastAsia="en-US"/>
        </w:rPr>
        <w:t>МАЙКА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color w:val="000000"/>
          <w:sz w:val="16"/>
          <w:szCs w:val="16"/>
          <w:lang w:val="en-US" w:eastAsia="en-US"/>
        </w:rPr>
        <w:t>[_________________________________________________][___________________________][_________________________][_____________________]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i/>
          <w:iCs/>
          <w:color w:val="000000"/>
          <w:sz w:val="16"/>
          <w:szCs w:val="16"/>
          <w:lang w:val="en-US" w:eastAsia="en-US"/>
        </w:rPr>
        <w:tab/>
        <w:tab/>
        <w:t>Трите имена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</w:t>
        <w:tab/>
        <w:tab/>
        <w:tab/>
        <w:t xml:space="preserve">   </w:t>
      </w:r>
      <w:r>
        <w:rPr>
          <w:i/>
          <w:iCs/>
          <w:color w:val="000000"/>
          <w:sz w:val="16"/>
          <w:szCs w:val="16"/>
          <w:lang w:val="en-US" w:eastAsia="en-US"/>
        </w:rPr>
        <w:t>ЕГН / Дата на раждане</w:t>
        <w:tab/>
        <w:t>          диагноза</w:t>
        <w:tab/>
        <w:t xml:space="preserve"> </w:t>
        <w:tab/>
        <w:t>  дата вземане кръв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color w:val="000000"/>
          <w:sz w:val="18"/>
          <w:szCs w:val="18"/>
          <w:lang w:val="en-US" w:eastAsia="en-US"/>
        </w:rPr>
        <w:t>БАЩА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color w:val="000000"/>
          <w:sz w:val="16"/>
          <w:szCs w:val="16"/>
          <w:lang w:val="en-US" w:eastAsia="en-US"/>
        </w:rPr>
        <w:t>[_________________________________________________][___________________________][_________________________][_____________________]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i/>
          <w:iCs/>
          <w:color w:val="000000"/>
          <w:sz w:val="16"/>
          <w:szCs w:val="16"/>
          <w:lang w:val="en-US" w:eastAsia="en-US"/>
        </w:rPr>
        <w:tab/>
        <w:tab/>
        <w:t>Трите имена</w:t>
      </w:r>
      <w:r>
        <w:rPr>
          <w:b/>
          <w:bCs/>
          <w:color w:val="000000"/>
          <w:sz w:val="16"/>
          <w:szCs w:val="16"/>
          <w:lang w:val="en-US" w:eastAsia="en-US"/>
        </w:rPr>
        <w:t xml:space="preserve"> </w:t>
        <w:tab/>
        <w:tab/>
        <w:tab/>
        <w:t xml:space="preserve">   </w:t>
      </w:r>
      <w:r>
        <w:rPr>
          <w:i/>
          <w:iCs/>
          <w:color w:val="000000"/>
          <w:sz w:val="16"/>
          <w:szCs w:val="16"/>
          <w:lang w:val="en-US" w:eastAsia="en-US"/>
        </w:rPr>
        <w:t>ЕГН / Дата на раждане</w:t>
        <w:tab/>
        <w:t xml:space="preserve">           диагноза</w:t>
        <w:tab/>
        <w:t xml:space="preserve"> </w:t>
        <w:tab/>
        <w:t>  дата вземане кръв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</w:r>
    </w:p>
    <w:p>
      <w:pPr>
        <w:pStyle w:val="Normal"/>
        <w:ind w:end="62"/>
        <w:jc w:val="both"/>
        <w:rPr>
          <w:sz w:val="24"/>
          <w:szCs w:val="24"/>
          <w:lang w:val="en-US" w:eastAsia="en-US"/>
        </w:rPr>
      </w:pPr>
      <w:r>
        <w:rPr>
          <w:b/>
          <w:bCs/>
          <w:color w:val="000000"/>
          <w:lang w:val="en-US" w:eastAsia="en-US"/>
        </w:rPr>
        <w:t>ДИАГНОЗА:</w:t>
      </w:r>
      <w:r>
        <w:rPr>
          <w:color w:val="000000"/>
          <w:lang w:val="en-US" w:eastAsia="en-US"/>
        </w:rPr>
        <w:t xml:space="preserve">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</w:r>
    </w:p>
    <w:p>
      <w:pPr>
        <w:pStyle w:val="Normal"/>
        <w:ind w:end="62"/>
        <w:jc w:val="both"/>
        <w:rPr>
          <w:sz w:val="24"/>
          <w:szCs w:val="24"/>
          <w:lang w:val="en-US" w:eastAsia="en-US"/>
        </w:rPr>
      </w:pPr>
      <w:r>
        <w:rPr>
          <w:b/>
          <w:bCs/>
          <w:color w:val="000000"/>
          <w:lang w:val="en-US" w:eastAsia="en-US"/>
        </w:rPr>
        <w:t>ДАННИ ЗА СЪПЪТСТВАЩИ ЗАБОЛЯВАНИЯ ПРИ ПРОБАНДА</w:t>
      </w:r>
      <w:r>
        <w:rPr>
          <w:b/>
          <w:bCs/>
          <w:color w:val="000000"/>
          <w:sz w:val="22"/>
          <w:szCs w:val="22"/>
          <w:lang w:val="en-US" w:eastAsia="en-US"/>
        </w:rPr>
        <w:t xml:space="preserve">: </w:t>
      </w:r>
      <w:r>
        <w:rPr>
          <w:color w:val="000000"/>
          <w:sz w:val="21"/>
          <w:szCs w:val="21"/>
          <w:lang w:val="en-US" w:eastAsia="en-US"/>
        </w:rPr>
        <w:t>да/не</w:t>
      </w:r>
    </w:p>
    <w:p>
      <w:pPr>
        <w:pStyle w:val="Normal"/>
        <w:ind w:end="62"/>
        <w:jc w:val="both"/>
        <w:rPr>
          <w:sz w:val="24"/>
          <w:szCs w:val="24"/>
          <w:lang w:val="en-US" w:eastAsia="en-US"/>
        </w:rPr>
      </w:pPr>
      <w:r>
        <w:rPr>
          <w:color w:val="000000"/>
          <w:sz w:val="21"/>
          <w:szCs w:val="21"/>
          <w:lang w:val="en-US" w:eastAsia="en-US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sz w:val="24"/>
          <w:szCs w:val="24"/>
          <w:lang w:val="en-US" w:eastAsia="en-US"/>
        </w:rPr>
      </w:r>
    </w:p>
    <w:p>
      <w:pPr>
        <w:pStyle w:val="Normal"/>
        <w:ind w:end="62"/>
        <w:jc w:val="both"/>
        <w:rPr>
          <w:sz w:val="24"/>
          <w:szCs w:val="24"/>
          <w:lang w:val="en-US" w:eastAsia="en-US"/>
        </w:rPr>
      </w:pPr>
      <w:r>
        <w:rPr>
          <w:b/>
          <w:bCs/>
          <w:color w:val="000000"/>
          <w:lang w:val="en-US" w:eastAsia="en-US"/>
        </w:rPr>
        <w:t xml:space="preserve">СЛУЧАИ НА ОНКОЛОГИЧНИ ЗАБОЛЯВАНИЯ СРЕД РОДСТВЕНИЦИТЕ НА ПРОБАНДА (пояснете): </w:t>
      </w:r>
      <w:r>
        <w:rPr>
          <w:color w:val="000000"/>
          <w:sz w:val="21"/>
          <w:szCs w:val="21"/>
          <w:lang w:val="en-US" w:eastAsia="en-US"/>
        </w:rPr>
        <w:t>да/не</w:t>
      </w:r>
    </w:p>
    <w:p>
      <w:pPr>
        <w:pStyle w:val="Normal"/>
        <w:ind w:end="62"/>
        <w:jc w:val="both"/>
        <w:rPr>
          <w:sz w:val="24"/>
          <w:szCs w:val="24"/>
          <w:lang w:val="en-US" w:eastAsia="en-US"/>
        </w:rPr>
      </w:pPr>
      <w:r>
        <w:rPr>
          <w:color w:val="000000"/>
          <w:lang w:val="en-US" w:eastAsia="en-US"/>
        </w:rPr>
        <w:t>……</w:t>
      </w:r>
      <w:r>
        <w:rPr>
          <w:color w:val="000000"/>
          <w:lang w:val="en-US" w:eastAsia="en-US"/>
        </w:rPr>
        <w:t>.</w:t>
      </w:r>
      <w:r>
        <w:rPr>
          <w:color w:val="000000"/>
          <w:sz w:val="21"/>
          <w:szCs w:val="21"/>
          <w:lang w:val="en-US" w:eastAsia="en-US"/>
        </w:rPr>
        <w:t>……………………………………………………………………………………………..…………………………… …….…………………………………………………………………………………………………………………………</w:t>
      </w:r>
    </w:p>
    <w:p>
      <w:pPr>
        <w:pStyle w:val="Normal"/>
        <w:ind w:end="62"/>
        <w:jc w:val="both"/>
        <w:rPr>
          <w:sz w:val="24"/>
          <w:szCs w:val="24"/>
          <w:lang w:val="en-US" w:eastAsia="en-US"/>
        </w:rPr>
      </w:pPr>
      <w:r>
        <w:rPr>
          <w:b/>
          <w:bCs/>
          <w:color w:val="000000"/>
          <w:lang w:val="en-US" w:eastAsia="en-US"/>
        </w:rPr>
        <w:t>ДРУГИ ЗАБОЛЯВАНИЯ СРЕД РОДСТВЕНИЦИТЕ НА ПРОБАНДА (пояснете):</w:t>
      </w:r>
      <w:r>
        <w:rPr>
          <w:color w:val="000000"/>
          <w:sz w:val="21"/>
          <w:szCs w:val="21"/>
          <w:lang w:val="en-US" w:eastAsia="en-US"/>
        </w:rPr>
        <w:t xml:space="preserve"> да/не</w:t>
      </w:r>
    </w:p>
    <w:p>
      <w:pPr>
        <w:pStyle w:val="Normal"/>
        <w:ind w:end="62"/>
        <w:jc w:val="both"/>
        <w:rPr>
          <w:sz w:val="24"/>
          <w:szCs w:val="24"/>
          <w:lang w:val="en-US" w:eastAsia="en-US"/>
        </w:rPr>
      </w:pPr>
      <w:r>
        <w:rPr>
          <w:color w:val="000000"/>
          <w:sz w:val="21"/>
          <w:szCs w:val="21"/>
          <w:lang w:val="en-US" w:eastAsia="en-US"/>
        </w:rPr>
        <w:t>………………………………………………………………………………………………………………………………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color w:val="000000"/>
          <w:sz w:val="18"/>
          <w:szCs w:val="18"/>
          <w:lang w:val="en-US" w:eastAsia="en-US"/>
        </w:rPr>
        <w:t xml:space="preserve">Изпратени брой срези ________________ параф.блок </w:t>
      </w:r>
      <w:r>
        <w:rPr>
          <w:b/>
          <w:bCs/>
          <w:color w:val="000000"/>
          <w:lang w:val="en-US" w:eastAsia="en-US"/>
        </w:rPr>
        <w:t>№</w:t>
      </w:r>
      <w:r>
        <w:rPr>
          <w:b/>
          <w:bCs/>
          <w:color w:val="000000"/>
          <w:sz w:val="18"/>
          <w:szCs w:val="18"/>
          <w:lang w:val="en-US" w:eastAsia="en-US"/>
        </w:rPr>
        <w:t>_____________________ Дата:________________________</w:t>
      </w:r>
    </w:p>
    <w:p>
      <w:pPr>
        <w:pStyle w:val="Normal"/>
        <w:ind w:end="-30"/>
        <w:rPr>
          <w:b/>
          <w:bCs/>
          <w:color w:val="000000"/>
          <w:sz w:val="12"/>
          <w:szCs w:val="12"/>
          <w:lang w:val="en-US" w:eastAsia="en-US"/>
        </w:rPr>
      </w:pPr>
      <w:r>
        <w:rPr>
          <w:b/>
          <w:bCs/>
          <w:color w:val="000000"/>
          <w:sz w:val="12"/>
          <w:szCs w:val="12"/>
          <w:lang w:val="en-US" w:eastAsia="en-US"/>
        </w:rPr>
      </w:r>
    </w:p>
    <w:p>
      <w:pPr>
        <w:pStyle w:val="Normal"/>
        <w:ind w:end="-30"/>
        <w:rPr>
          <w:sz w:val="24"/>
          <w:szCs w:val="24"/>
          <w:lang w:val="en-US" w:eastAsia="en-US"/>
        </w:rPr>
      </w:pPr>
      <w:r>
        <w:rPr>
          <w:b/>
          <w:bCs/>
          <w:color w:val="000000"/>
          <w:sz w:val="18"/>
          <w:szCs w:val="18"/>
          <w:lang w:val="en-US" w:eastAsia="en-US"/>
        </w:rPr>
        <w:t>Съдържание на туморни клетки (%)</w:t>
      </w:r>
      <w:r>
        <w:rPr>
          <w:b/>
          <w:bCs/>
          <w:color w:val="000000"/>
          <w:sz w:val="16"/>
          <w:szCs w:val="16"/>
          <w:lang w:val="en-US" w:eastAsia="en-US"/>
        </w:rPr>
        <w:t>_____________________</w:t>
      </w:r>
    </w:p>
    <w:p>
      <w:pPr>
        <w:pStyle w:val="Normal"/>
        <w:ind w:end="-30"/>
        <w:rPr>
          <w:b/>
          <w:bCs/>
          <w:color w:val="000000"/>
          <w:sz w:val="12"/>
          <w:szCs w:val="12"/>
          <w:lang w:val="en-US" w:eastAsia="en-US"/>
        </w:rPr>
      </w:pPr>
      <w:r>
        <w:rPr>
          <w:b/>
          <w:bCs/>
          <w:color w:val="000000"/>
          <w:sz w:val="12"/>
          <w:szCs w:val="12"/>
          <w:lang w:val="en-US" w:eastAsia="en-US"/>
        </w:rPr>
      </w:r>
    </w:p>
    <w:p>
      <w:pPr>
        <w:pStyle w:val="Normal"/>
        <w:ind w:end="-30"/>
        <w:rPr>
          <w:sz w:val="24"/>
          <w:szCs w:val="24"/>
          <w:lang w:val="en-US" w:eastAsia="en-US"/>
        </w:rPr>
      </w:pPr>
      <w:r>
        <w:rPr>
          <w:b/>
          <w:bCs/>
          <w:color w:val="000000"/>
          <w:sz w:val="18"/>
          <w:szCs w:val="18"/>
          <w:lang w:val="en-US" w:eastAsia="en-US"/>
        </w:rPr>
        <w:t xml:space="preserve">Патолог: </w:t>
      </w:r>
      <w:r>
        <w:rPr>
          <w:color w:val="000000"/>
          <w:sz w:val="16"/>
          <w:szCs w:val="16"/>
          <w:lang w:val="en-US" w:eastAsia="en-US"/>
        </w:rPr>
        <w:t>[___________________________________________________________]</w:t>
      </w:r>
      <w:r>
        <w:rPr>
          <w:b/>
          <w:bCs/>
          <w:color w:val="000000"/>
          <w:sz w:val="16"/>
          <w:szCs w:val="16"/>
          <w:lang w:val="en-US" w:eastAsia="en-US"/>
        </w:rPr>
        <w:t>[_______________________________]</w:t>
      </w:r>
      <w:r>
        <w:rPr>
          <w:b/>
          <w:bCs/>
          <w:color w:val="000000"/>
          <w:sz w:val="18"/>
          <w:szCs w:val="18"/>
          <w:lang w:val="en-US" w:eastAsia="en-US"/>
        </w:rPr>
        <w:t>[_______________]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i/>
          <w:iCs/>
          <w:color w:val="000000"/>
          <w:sz w:val="18"/>
          <w:szCs w:val="18"/>
          <w:lang w:val="en-US" w:eastAsia="en-US"/>
        </w:rPr>
        <w:t>                                                          </w:t>
      </w:r>
      <w:r>
        <w:rPr>
          <w:i/>
          <w:iCs/>
          <w:color w:val="000000"/>
          <w:sz w:val="18"/>
          <w:szCs w:val="18"/>
          <w:lang w:val="en-US" w:eastAsia="en-US"/>
        </w:rPr>
        <w:t>Име, фамилия</w:t>
      </w:r>
      <w:r>
        <w:rPr>
          <w:b/>
          <w:bCs/>
          <w:color w:val="000000"/>
          <w:sz w:val="18"/>
          <w:szCs w:val="18"/>
          <w:lang w:val="en-US" w:eastAsia="en-US"/>
        </w:rPr>
        <w:t xml:space="preserve">                                                       </w:t>
      </w:r>
      <w:r>
        <w:rPr>
          <w:i/>
          <w:iCs/>
          <w:color w:val="000000"/>
          <w:sz w:val="18"/>
          <w:szCs w:val="18"/>
          <w:lang w:val="en-US" w:eastAsia="en-US"/>
        </w:rPr>
        <w:t>Tелефон                                  Подпис</w:t>
      </w:r>
    </w:p>
    <w:p>
      <w:pPr>
        <w:pStyle w:val="Normal"/>
        <w:rPr>
          <w:sz w:val="24"/>
          <w:szCs w:val="24"/>
          <w:lang w:val="en-US" w:eastAsia="en-US"/>
        </w:rPr>
      </w:pPr>
      <w:r>
        <mc:AlternateContent>
          <mc:Choice Requires="wps">
            <w:drawing>
              <wp:anchor behindDoc="0" distT="0" distB="24130" distL="0" distR="123190" simplePos="0" locked="0" layoutInCell="0" allowOverlap="1" relativeHeight="14" wp14:anchorId="3DAC194C">
                <wp:simplePos x="0" y="0"/>
                <wp:positionH relativeFrom="margin">
                  <wp:align>left</wp:align>
                </wp:positionH>
                <wp:positionV relativeFrom="paragraph">
                  <wp:posOffset>332740</wp:posOffset>
                </wp:positionV>
                <wp:extent cx="6710680" cy="2828925"/>
                <wp:effectExtent l="5080" t="5715" r="5080" b="4445"/>
                <wp:wrapSquare wrapText="bothSides"/>
                <wp:docPr id="2" name="Rectangle 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10760" cy="2828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26.2pt;width:528.35pt;height:222.7pt;mso-wrap-style:none;v-text-anchor:middle;mso-position-horizontal:left;mso-position-horizontal-relative:margin" wp14:anchorId="3DAC194C">
                <v:fill o:detectmouseclick="t" type="solid" color2="black"/>
                <v:stroke color="black" weight="9360" joinstyle="miter" endcap="flat"/>
                <w10:wrap type="square"/>
              </v:rect>
            </w:pict>
          </mc:Fallback>
        </mc:AlternateContent>
      </w:r>
      <w:r>
        <w:rPr>
          <w:b/>
          <w:bCs/>
          <w:color w:val="000000"/>
          <w:lang w:val="en-US" w:eastAsia="en-US"/>
        </w:rPr>
        <w:t> </w:t>
      </w:r>
      <w:r>
        <w:rPr>
          <w:b/>
          <w:bCs/>
          <w:color w:val="000000"/>
          <w:lang w:val="en-US" w:eastAsia="en-US"/>
        </w:rPr>
        <w:t>НАЧЕРТАЙТЕ РОДОСЛОВНО ДЪРВО</w:t>
      </w:r>
      <w:r>
        <w:rPr>
          <w:b/>
          <w:bCs/>
          <w:i/>
          <w:iCs/>
          <w:color w:val="000000"/>
          <w:lang w:val="en-US" w:eastAsia="en-US"/>
        </w:rPr>
        <w:t xml:space="preserve"> </w:t>
      </w:r>
      <w:r>
        <w:rPr>
          <w:color w:val="000000"/>
          <w:sz w:val="16"/>
          <w:szCs w:val="16"/>
          <w:lang w:val="en-US" w:eastAsia="en-US"/>
        </w:rPr>
        <w:t>(Включете всички членове на семейството, за които сте получили информация, отбележете засегнатите родственици и означете със звездичка тези от които изпращате кръв с настоящата поръчка)</w:t>
      </w:r>
    </w:p>
    <w:p>
      <w:pPr>
        <w:pStyle w:val="Normal"/>
        <w:spacing w:before="0" w:after="160"/>
        <w:ind w:end="26"/>
        <w:rPr>
          <w:i/>
          <w:iCs/>
          <w:color w:val="000000"/>
          <w:sz w:val="18"/>
          <w:szCs w:val="18"/>
          <w:lang w:val="en-US" w:eastAsia="en-US"/>
        </w:rPr>
      </w:pPr>
      <w:r>
        <w:rPr>
          <w:i/>
          <w:iCs/>
          <w:color w:val="000000"/>
          <w:sz w:val="18"/>
          <w:szCs w:val="18"/>
          <w:lang w:val="en-US" w:eastAsia="en-US"/>
        </w:rPr>
        <w:t>Моля, отбележете в родословното дърво случаите на онкологични заболявания и възрастта на начало на заболяването. За починали родственици, отбележете годината и причината за смъртта.</w:t>
      </w:r>
    </w:p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color w:val="000000"/>
          <w:lang w:val="en-US" w:eastAsia="en-US"/>
        </w:rPr>
        <w:t>ЛЕЧЕНИЕ:</w:t>
      </w:r>
    </w:p>
    <w:tbl>
      <w:tblPr>
        <w:tblW w:w="1031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1105"/>
        <w:gridCol w:w="1978"/>
        <w:gridCol w:w="1083"/>
        <w:gridCol w:w="1990"/>
        <w:gridCol w:w="1411"/>
        <w:gridCol w:w="1777"/>
        <w:gridCol w:w="966"/>
      </w:tblGrid>
      <w:tr>
        <w:trPr>
          <w:trHeight w:val="446" w:hRule="atLeast"/>
        </w:trPr>
        <w:tc>
          <w:tcPr>
            <w:tcW w:w="1105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23"/>
              <w:rPr>
                <w:sz w:val="24"/>
                <w:szCs w:val="24"/>
                <w:lang w:val="en-US"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 w:eastAsia="en-US"/>
              </w:rPr>
              <w:t>Лъчеление</w:t>
            </w:r>
          </w:p>
        </w:tc>
        <w:tc>
          <w:tcPr>
            <w:tcW w:w="19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36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Преди-/След-оперативно</w:t>
            </w:r>
          </w:p>
        </w:tc>
        <w:tc>
          <w:tcPr>
            <w:tcW w:w="10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Продължи-</w:t>
            </w:r>
          </w:p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телност</w:t>
            </w:r>
          </w:p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(дни)</w:t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Доза рентгеново лъчение</w:t>
            </w:r>
          </w:p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(Gy)</w:t>
            </w:r>
          </w:p>
        </w:tc>
        <w:tc>
          <w:tcPr>
            <w:tcW w:w="1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Схема</w:t>
            </w:r>
          </w:p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(пъти седмично)</w:t>
            </w:r>
          </w:p>
        </w:tc>
        <w:tc>
          <w:tcPr>
            <w:tcW w:w="17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Място на провеждане</w:t>
            </w:r>
          </w:p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(Болнично заведение)</w:t>
            </w:r>
          </w:p>
        </w:tc>
        <w:tc>
          <w:tcPr>
            <w:tcW w:w="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Коментар</w:t>
            </w:r>
          </w:p>
        </w:tc>
      </w:tr>
      <w:tr>
        <w:trPr>
          <w:trHeight w:val="340" w:hRule="atLeast"/>
        </w:trPr>
        <w:tc>
          <w:tcPr>
            <w:tcW w:w="110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9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0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7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</w:tr>
      <w:tr>
        <w:trPr>
          <w:trHeight w:val="336" w:hRule="atLeast"/>
        </w:trPr>
        <w:tc>
          <w:tcPr>
            <w:tcW w:w="1105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97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08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9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4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77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96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</w:tr>
    </w:tbl>
    <w:p>
      <w:pPr>
        <w:pStyle w:val="Normal"/>
        <w:rPr>
          <w:sz w:val="16"/>
          <w:szCs w:val="16"/>
          <w:lang w:val="en-US" w:eastAsia="en-US"/>
        </w:rPr>
      </w:pPr>
      <w:r>
        <w:rPr>
          <w:sz w:val="16"/>
          <w:szCs w:val="16"/>
          <w:lang w:val="en-US" w:eastAsia="en-US"/>
        </w:rPr>
      </w:r>
    </w:p>
    <w:tbl>
      <w:tblPr>
        <w:tblW w:w="10255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1429"/>
        <w:gridCol w:w="1540"/>
        <w:gridCol w:w="1675"/>
        <w:gridCol w:w="1180"/>
        <w:gridCol w:w="1243"/>
        <w:gridCol w:w="1894"/>
        <w:gridCol w:w="1294"/>
      </w:tblGrid>
      <w:tr>
        <w:trPr>
          <w:trHeight w:val="380" w:hRule="atLeast"/>
        </w:trPr>
        <w:tc>
          <w:tcPr>
            <w:tcW w:w="142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23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b/>
                <w:bCs/>
                <w:color w:val="000000"/>
                <w:sz w:val="18"/>
                <w:szCs w:val="18"/>
                <w:lang w:val="en-US" w:eastAsia="en-US"/>
              </w:rPr>
              <w:t>Химиотерапия</w:t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Вид терапия</w:t>
            </w:r>
          </w:p>
          <w:p>
            <w:pPr>
              <w:pStyle w:val="Normal"/>
              <w:ind w:hanging="80" w:start="-80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(адювантна/ нео-)</w:t>
            </w:r>
          </w:p>
        </w:tc>
        <w:tc>
          <w:tcPr>
            <w:tcW w:w="1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Продължи-телност</w:t>
            </w:r>
          </w:p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(месеци)</w:t>
            </w:r>
          </w:p>
        </w:tc>
        <w:tc>
          <w:tcPr>
            <w:tcW w:w="1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Медикамент</w:t>
            </w:r>
          </w:p>
        </w:tc>
        <w:tc>
          <w:tcPr>
            <w:tcW w:w="12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Схема/</w:t>
            </w:r>
          </w:p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Брой курсове</w:t>
            </w:r>
          </w:p>
        </w:tc>
        <w:tc>
          <w:tcPr>
            <w:tcW w:w="1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Място на провеждане</w:t>
            </w:r>
          </w:p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(Болнично заведение)</w:t>
            </w:r>
          </w:p>
        </w:tc>
        <w:tc>
          <w:tcPr>
            <w:tcW w:w="1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Коментар</w:t>
            </w:r>
          </w:p>
        </w:tc>
      </w:tr>
      <w:tr>
        <w:trPr>
          <w:trHeight w:val="332" w:hRule="atLeast"/>
        </w:trPr>
        <w:tc>
          <w:tcPr>
            <w:tcW w:w="142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2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</w:tr>
      <w:tr>
        <w:trPr>
          <w:trHeight w:val="318" w:hRule="atLeast"/>
        </w:trPr>
        <w:tc>
          <w:tcPr>
            <w:tcW w:w="142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54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67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18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24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8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29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</w:tr>
    </w:tbl>
    <w:p>
      <w:pPr>
        <w:pStyle w:val="Normal"/>
        <w:rPr>
          <w:sz w:val="14"/>
          <w:szCs w:val="14"/>
          <w:lang w:val="en-US" w:eastAsia="en-US"/>
        </w:rPr>
      </w:pPr>
      <w:r>
        <w:rPr>
          <w:sz w:val="14"/>
          <w:szCs w:val="14"/>
          <w:lang w:val="en-US" w:eastAsia="en-US"/>
        </w:rPr>
      </w:r>
    </w:p>
    <w:p>
      <w:pPr>
        <w:pStyle w:val="Normal"/>
        <w:ind w:end="-54"/>
        <w:rPr>
          <w:sz w:val="24"/>
          <w:szCs w:val="24"/>
          <w:lang w:val="en-US" w:eastAsia="en-US"/>
        </w:rPr>
      </w:pPr>
      <w:r>
        <w:rPr>
          <w:b/>
          <w:bCs/>
          <w:color w:val="000000"/>
          <w:lang w:val="en-US" w:eastAsia="en-US"/>
        </w:rPr>
        <w:t>ПРЕДХОДНИ ОПЕРАЦИИ</w:t>
      </w:r>
      <w:r>
        <w:rPr>
          <w:b/>
          <w:bCs/>
          <w:color w:val="000000"/>
          <w:sz w:val="18"/>
          <w:szCs w:val="18"/>
          <w:lang w:val="en-US" w:eastAsia="en-US"/>
        </w:rPr>
        <w:t>:</w:t>
      </w:r>
    </w:p>
    <w:tbl>
      <w:tblPr>
        <w:tblW w:w="1031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noHBand="0" w:noVBand="1" w:firstColumn="1" w:lastRow="0" w:lastColumn="0" w:firstRow="1"/>
      </w:tblPr>
      <w:tblGrid>
        <w:gridCol w:w="387"/>
        <w:gridCol w:w="579"/>
        <w:gridCol w:w="926"/>
        <w:gridCol w:w="1307"/>
        <w:gridCol w:w="900"/>
        <w:gridCol w:w="1208"/>
        <w:gridCol w:w="1348"/>
        <w:gridCol w:w="1095"/>
        <w:gridCol w:w="1287"/>
        <w:gridCol w:w="1273"/>
      </w:tblGrid>
      <w:tr>
        <w:trPr>
          <w:trHeight w:val="62" w:hRule="atLeast"/>
        </w:trPr>
        <w:tc>
          <w:tcPr>
            <w:tcW w:w="38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54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№</w:t>
            </w:r>
          </w:p>
        </w:tc>
        <w:tc>
          <w:tcPr>
            <w:tcW w:w="579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54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Дата</w:t>
            </w:r>
          </w:p>
        </w:tc>
        <w:tc>
          <w:tcPr>
            <w:tcW w:w="926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54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Диагноза</w:t>
            </w:r>
          </w:p>
        </w:tc>
        <w:tc>
          <w:tcPr>
            <w:tcW w:w="1307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54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TNM</w:t>
            </w:r>
          </w:p>
          <w:p>
            <w:pPr>
              <w:pStyle w:val="Normal"/>
              <w:ind w:end="-54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класификация</w:t>
            </w:r>
          </w:p>
        </w:tc>
        <w:tc>
          <w:tcPr>
            <w:tcW w:w="900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54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Вид резекция</w:t>
            </w:r>
          </w:p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20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54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Локализация</w:t>
            </w:r>
          </w:p>
        </w:tc>
        <w:tc>
          <w:tcPr>
            <w:tcW w:w="5003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54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 xml:space="preserve">Лечение </w:t>
            </w:r>
            <w:r>
              <w:rPr>
                <w:b/>
                <w:bCs/>
                <w:color w:val="000000"/>
                <w:sz w:val="22"/>
                <w:szCs w:val="22"/>
                <w:lang w:val="en-US" w:eastAsia="en-US"/>
              </w:rPr>
              <w:t>*</w:t>
            </w:r>
          </w:p>
        </w:tc>
      </w:tr>
      <w:tr>
        <w:trPr>
          <w:trHeight w:val="157" w:hRule="atLeast"/>
        </w:trPr>
        <w:tc>
          <w:tcPr>
            <w:tcW w:w="38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579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926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307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900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20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tcMar>
              <w:top w:w="15" w:type="dxa"/>
              <w:start w:w="15" w:type="dxa"/>
              <w:bottom w:w="15" w:type="dxa"/>
              <w:end w:w="15" w:type="dxa"/>
            </w:tcMar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244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54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Лъчетерапия</w:t>
            </w:r>
          </w:p>
        </w:tc>
        <w:tc>
          <w:tcPr>
            <w:tcW w:w="2560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54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Химиотерапия</w:t>
            </w:r>
          </w:p>
        </w:tc>
      </w:tr>
      <w:tr>
        <w:trPr>
          <w:trHeight w:val="109" w:hRule="atLeast"/>
        </w:trPr>
        <w:tc>
          <w:tcPr>
            <w:tcW w:w="3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30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1.</w:t>
            </w:r>
          </w:p>
        </w:tc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3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2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30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Да</w:t>
            </w:r>
          </w:p>
        </w:tc>
        <w:tc>
          <w:tcPr>
            <w:tcW w:w="10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30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Не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30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Да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30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Не</w:t>
            </w:r>
          </w:p>
        </w:tc>
      </w:tr>
      <w:tr>
        <w:trPr/>
        <w:tc>
          <w:tcPr>
            <w:tcW w:w="3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30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2.</w:t>
            </w:r>
          </w:p>
        </w:tc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3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2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Да</w:t>
            </w:r>
          </w:p>
        </w:tc>
        <w:tc>
          <w:tcPr>
            <w:tcW w:w="10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7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Не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Да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Не</w:t>
            </w:r>
          </w:p>
        </w:tc>
      </w:tr>
      <w:tr>
        <w:trPr/>
        <w:tc>
          <w:tcPr>
            <w:tcW w:w="3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ind w:end="-30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3.</w:t>
            </w:r>
          </w:p>
        </w:tc>
        <w:tc>
          <w:tcPr>
            <w:tcW w:w="5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9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30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90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20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rPr>
                <w:sz w:val="24"/>
                <w:szCs w:val="24"/>
                <w:lang w:val="en-US" w:eastAsia="en-US"/>
              </w:rPr>
            </w:pPr>
            <w:r>
              <w:rPr>
                <w:sz w:val="24"/>
                <w:szCs w:val="24"/>
                <w:lang w:val="en-US" w:eastAsia="en-US"/>
              </w:rPr>
            </w:r>
          </w:p>
        </w:tc>
        <w:tc>
          <w:tcPr>
            <w:tcW w:w="134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Да</w:t>
            </w:r>
          </w:p>
        </w:tc>
        <w:tc>
          <w:tcPr>
            <w:tcW w:w="109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ind w:start="7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Не</w:t>
            </w:r>
          </w:p>
        </w:tc>
        <w:tc>
          <w:tcPr>
            <w:tcW w:w="12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Да</w:t>
            </w:r>
          </w:p>
        </w:tc>
        <w:tc>
          <w:tcPr>
            <w:tcW w:w="12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jc w:val="center"/>
              <w:rPr>
                <w:sz w:val="24"/>
                <w:szCs w:val="24"/>
                <w:lang w:val="en-US" w:eastAsia="en-US"/>
              </w:rPr>
            </w:pPr>
            <w:r>
              <w:rPr>
                <w:color w:val="000000"/>
                <w:sz w:val="18"/>
                <w:szCs w:val="18"/>
                <w:lang w:val="en-US" w:eastAsia="en-US"/>
              </w:rPr>
              <w:t>Не</w:t>
            </w:r>
          </w:p>
        </w:tc>
      </w:tr>
    </w:tbl>
    <w:p>
      <w:pPr>
        <w:pStyle w:val="Normal"/>
        <w:rPr>
          <w:sz w:val="24"/>
          <w:szCs w:val="24"/>
          <w:lang w:val="en-US" w:eastAsia="en-US"/>
        </w:rPr>
      </w:pPr>
      <w:r>
        <w:rPr>
          <w:b/>
          <w:bCs/>
          <w:i/>
          <w:iCs/>
          <w:color w:val="000000"/>
          <w:sz w:val="16"/>
          <w:szCs w:val="16"/>
          <w:lang w:val="en-US" w:eastAsia="en-US"/>
        </w:rPr>
        <w:t xml:space="preserve">* </w:t>
      </w:r>
      <w:r>
        <w:rPr>
          <w:i/>
          <w:iCs/>
          <w:color w:val="000000"/>
          <w:sz w:val="16"/>
          <w:szCs w:val="16"/>
          <w:lang w:val="en-US" w:eastAsia="en-US"/>
        </w:rPr>
        <w:t>Попълнете като оградите верния отговор</w:t>
      </w:r>
    </w:p>
    <w:p>
      <w:pPr>
        <w:pStyle w:val="Normal"/>
        <w:ind w:end="-30"/>
        <w:rPr>
          <w:b/>
          <w:u w:val="single"/>
          <w:lang w:val="bg-BG" w:eastAsia="en-US"/>
        </w:rPr>
      </w:pPr>
      <w:r>
        <w:rPr>
          <w:b/>
          <w:u w:val="single"/>
          <w:lang w:val="bg-BG" w:eastAsia="en-US"/>
        </w:rPr>
      </w:r>
    </w:p>
    <w:p>
      <w:pPr>
        <w:pStyle w:val="Normal"/>
        <w:ind w:end="-30"/>
        <w:jc w:val="center"/>
        <w:rPr>
          <w:b/>
          <w:u w:val="single"/>
          <w:lang w:val="bg-BG" w:eastAsia="en-US"/>
        </w:rPr>
      </w:pPr>
      <w:r>
        <w:rPr>
          <w:b/>
          <w:u w:val="single"/>
          <w:lang w:val="bg-BG" w:eastAsia="en-US"/>
        </w:rPr>
        <w:t>ОБХВАТ НА ИЗСЛЕДВАНЕ</w:t>
      </w:r>
    </w:p>
    <w:p>
      <w:pPr>
        <w:pStyle w:val="Normal"/>
        <w:tabs>
          <w:tab w:val="clear" w:pos="720"/>
          <w:tab w:val="left" w:pos="284" w:leader="none"/>
        </w:tabs>
        <w:ind w:end="-30"/>
        <w:rPr>
          <w:b/>
          <w:u w:val="single"/>
          <w:lang w:val="bg-BG" w:eastAsia="en-US"/>
        </w:rPr>
      </w:pPr>
      <w:bookmarkStart w:id="0" w:name="_Hlk216861475"/>
      <w:r>
        <w:rPr>
          <w:b/>
          <w:u w:val="single"/>
          <w:lang w:val="bg-BG" w:eastAsia="en-US"/>
        </w:rPr>
        <w:t>ФАМИЛНИ ОНКОЛОГИЧНИ</w:t>
      </w:r>
      <w:bookmarkEnd w:id="0"/>
    </w:p>
    <w:p>
      <w:pPr>
        <w:pStyle w:val="Normal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 xml:space="preserve">Тест № 1 Фамилен рак на гърдата и айчника (HBOC) - Анализ на </w:t>
      </w:r>
      <w:r>
        <w:rPr>
          <w:b/>
          <w:i/>
          <w:iCs/>
          <w:lang w:val="bg-BG"/>
        </w:rPr>
        <w:t>BRCA1</w:t>
      </w:r>
      <w:r>
        <w:rPr>
          <w:b/>
          <w:lang w:val="bg-BG"/>
        </w:rPr>
        <w:t xml:space="preserve"> и </w:t>
      </w:r>
      <w:r>
        <w:rPr>
          <w:b/>
          <w:i/>
          <w:iCs/>
          <w:lang w:val="bg-BG"/>
        </w:rPr>
        <w:t>BRCA2</w:t>
      </w:r>
      <w:r>
        <w:rPr>
          <w:b/>
          <w:lang w:val="bg-BG"/>
        </w:rPr>
        <w:t xml:space="preserve"> гените, герминативни варианти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 xml:space="preserve">Тест № 2 Фамилен рак на гърдата и айчника (HBOC) Големи делеции/инсерции пренареждания в </w:t>
      </w:r>
      <w:r>
        <w:rPr>
          <w:b/>
          <w:i/>
          <w:iCs/>
          <w:lang w:val="bg-BG"/>
        </w:rPr>
        <w:t>BRCA1</w:t>
      </w:r>
      <w:r>
        <w:rPr>
          <w:b/>
          <w:lang w:val="bg-BG"/>
        </w:rPr>
        <w:t xml:space="preserve"> гена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 xml:space="preserve">Тест № 3 Фамилен рак на гърдата и айчника (HBOC) Големи делеции/инсерции пренареждания в </w:t>
      </w:r>
      <w:r>
        <w:rPr>
          <w:b/>
          <w:i/>
          <w:iCs/>
          <w:lang w:val="bg-BG"/>
        </w:rPr>
        <w:t>BRCA2</w:t>
      </w:r>
      <w:r>
        <w:rPr>
          <w:b/>
          <w:lang w:val="bg-BG"/>
        </w:rPr>
        <w:t xml:space="preserve"> гена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>Тест № 4 Фамилен рак на гърдата и айчника (HBOC) Цялостно екзомно секвениране (WES) и анализ на панел от гени*, асоциирани с HBOC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>Тест № 5 Фамилен неполипозен колоректален карцином - HNPCC (Lynch syndrome) -Микросателитна нестабилност на панел от 10 маркера (норма/тумор)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>Тест № 6 Фамилен неполипозен колоректален карцином - HNPCC (Lynch syndrome) -</w:t>
      </w:r>
      <w:r>
        <w:rPr/>
        <w:t xml:space="preserve"> </w:t>
      </w:r>
      <w:r>
        <w:rPr>
          <w:b/>
          <w:lang w:val="bg-BG"/>
        </w:rPr>
        <w:t xml:space="preserve">Цялостно екзомно секвениране (WES) и анализ на панел от гени*, асоциирани с колоректален карцином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>Тест № 7 Фамилен неполипозен колоректален карцином - HNPCC (Lynch syndrome) -</w:t>
      </w:r>
      <w:r>
        <w:rPr/>
        <w:t xml:space="preserve"> </w:t>
      </w:r>
      <w:r>
        <w:rPr>
          <w:b/>
          <w:lang w:val="bg-BG"/>
        </w:rPr>
        <w:t xml:space="preserve">Анализ на </w:t>
      </w:r>
      <w:r>
        <w:rPr>
          <w:b/>
          <w:i/>
          <w:iCs/>
          <w:lang w:val="bg-BG"/>
        </w:rPr>
        <w:t>MLH1</w:t>
      </w:r>
      <w:r>
        <w:rPr>
          <w:b/>
          <w:lang w:val="bg-BG"/>
        </w:rPr>
        <w:t xml:space="preserve"> генa 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>Тест№ 8 Фамилен неполипозен колоректален карцином - HNPCC (Lynch syndrome) -</w:t>
      </w:r>
      <w:r>
        <w:rPr/>
        <w:t xml:space="preserve"> </w:t>
      </w:r>
      <w:r>
        <w:rPr>
          <w:b/>
          <w:lang w:val="bg-BG"/>
        </w:rPr>
        <w:t xml:space="preserve">Анализ на </w:t>
      </w:r>
      <w:r>
        <w:rPr>
          <w:b/>
          <w:i/>
          <w:iCs/>
          <w:lang w:val="bg-BG"/>
        </w:rPr>
        <w:t>MSH2</w:t>
      </w:r>
      <w:r>
        <w:rPr>
          <w:b/>
          <w:lang w:val="bg-BG"/>
        </w:rPr>
        <w:t xml:space="preserve"> генa 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>Тест№ 9 Фамилен неполипозен колоректален карцином - HNPCC (Lynch syndrome) -</w:t>
      </w:r>
      <w:r>
        <w:rPr/>
        <w:t xml:space="preserve"> </w:t>
      </w:r>
      <w:r>
        <w:rPr>
          <w:b/>
          <w:lang w:val="bg-BG"/>
        </w:rPr>
        <w:t xml:space="preserve">Анализ на </w:t>
      </w:r>
      <w:r>
        <w:rPr>
          <w:b/>
          <w:i/>
          <w:iCs/>
          <w:lang w:val="bg-BG"/>
        </w:rPr>
        <w:t>MSH6</w:t>
      </w:r>
      <w:r>
        <w:rPr>
          <w:b/>
          <w:lang w:val="bg-BG"/>
        </w:rPr>
        <w:t xml:space="preserve"> генa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>Тест№ 10 Фамилен неполипозен колоректален карцином - HNPCC (Lynch syndrome) -</w:t>
      </w:r>
      <w:r>
        <w:rPr/>
        <w:t xml:space="preserve"> </w:t>
      </w:r>
      <w:r>
        <w:rPr>
          <w:b/>
          <w:lang w:val="bg-BG"/>
        </w:rPr>
        <w:t xml:space="preserve">Големи делеции/инсерции пренареждания в </w:t>
      </w:r>
      <w:r>
        <w:rPr>
          <w:b/>
          <w:i/>
          <w:iCs/>
          <w:lang w:val="bg-BG"/>
        </w:rPr>
        <w:t>MLH1</w:t>
      </w:r>
      <w:r>
        <w:rPr>
          <w:b/>
          <w:lang w:val="bg-BG"/>
        </w:rPr>
        <w:t xml:space="preserve"> и </w:t>
      </w:r>
      <w:r>
        <w:rPr>
          <w:b/>
          <w:i/>
          <w:iCs/>
          <w:lang w:val="bg-BG"/>
        </w:rPr>
        <w:t>MSH2</w:t>
      </w:r>
      <w:r>
        <w:rPr>
          <w:b/>
          <w:lang w:val="bg-BG"/>
        </w:rPr>
        <w:t xml:space="preserve"> гените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>Тест№ 11 Фамилен неполипозен колоректален карцином - HNPCC (Lynch syndrome) -</w:t>
      </w:r>
      <w:r>
        <w:rPr/>
        <w:t xml:space="preserve"> </w:t>
      </w:r>
      <w:r>
        <w:rPr>
          <w:b/>
          <w:lang w:val="bg-BG"/>
        </w:rPr>
        <w:t>Цялостно екзомно секвениране (WES) и анализ на панел от гени*, асоциирани с HNPCC</w:t>
      </w:r>
      <w:r>
        <w:rPr>
          <w:b/>
          <w:caps/>
          <w:u w:val="single"/>
          <w:lang w:val="bg-BG" w:eastAsia="en-US"/>
        </w:rPr>
        <w:t xml:space="preserve"> 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 xml:space="preserve">Тест№ 12 Наследствени Гастроинтестинални Тумори Цялостно екзомно секвениране (WES) и анализ на панел от гени*, асоциирани с наследствени гастроинтестинални тумори, наследствен колоректален и стомашен рак, и/или риск от развитие на множество полипи 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 xml:space="preserve">Тест№ 13 Фамилна аденоматозна полипоза (FAP) </w:t>
      </w:r>
      <w:r>
        <w:rPr>
          <w:b/>
          <w:lang w:val="en-US"/>
        </w:rPr>
        <w:t xml:space="preserve">Анализ на екзон 16 на </w:t>
      </w:r>
      <w:r>
        <w:rPr>
          <w:b/>
          <w:i/>
          <w:iCs/>
          <w:lang w:val="en-US"/>
        </w:rPr>
        <w:t>APC</w:t>
      </w:r>
      <w:r>
        <w:rPr>
          <w:b/>
          <w:lang w:val="en-US"/>
        </w:rPr>
        <w:t xml:space="preserve"> гена 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 xml:space="preserve">Тест№ 14 Фамилна аденоматозна полипоза (FAP) Анализ на </w:t>
      </w:r>
      <w:r>
        <w:rPr>
          <w:b/>
          <w:i/>
          <w:iCs/>
          <w:lang w:val="bg-BG"/>
        </w:rPr>
        <w:t>APC</w:t>
      </w:r>
      <w:r>
        <w:rPr>
          <w:b/>
          <w:lang w:val="bg-BG"/>
        </w:rPr>
        <w:t xml:space="preserve"> гена (без екзон 16)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 xml:space="preserve">Тест№ 15 Фамилна аденоматозна полипоза (FAP) Секвенционен анализ на </w:t>
      </w:r>
      <w:r>
        <w:rPr>
          <w:b/>
          <w:i/>
          <w:lang w:val="bg-BG"/>
        </w:rPr>
        <w:t>APC</w:t>
      </w:r>
      <w:r>
        <w:rPr>
          <w:b/>
          <w:lang w:val="bg-BG"/>
        </w:rPr>
        <w:t xml:space="preserve"> гена</w:t>
      </w:r>
    </w:p>
    <w:p>
      <w:pPr>
        <w:pStyle w:val="Normal"/>
        <w:numPr>
          <w:ilvl w:val="0"/>
          <w:numId w:val="5"/>
        </w:numPr>
        <w:tabs>
          <w:tab w:val="clear" w:pos="720"/>
          <w:tab w:val="left" w:pos="284" w:leader="none"/>
          <w:tab w:val="left" w:pos="450" w:leader="none"/>
          <w:tab w:val="left" w:pos="540" w:leader="none"/>
        </w:tabs>
        <w:ind w:hanging="0" w:start="0"/>
        <w:rPr>
          <w:b/>
          <w:lang w:val="bg-BG"/>
        </w:rPr>
      </w:pPr>
      <w:r>
        <w:rPr>
          <w:b/>
          <w:lang w:val="bg-BG"/>
        </w:rPr>
        <w:t xml:space="preserve">Тест№ 16 Фамилна аденоматозна полипоза (FAP) Големи делеции/инсерции пренареждания в </w:t>
      </w:r>
      <w:r>
        <w:rPr>
          <w:b/>
          <w:i/>
          <w:iCs/>
          <w:lang w:val="bg-BG"/>
        </w:rPr>
        <w:t>APC</w:t>
      </w:r>
      <w:r>
        <w:rPr>
          <w:b/>
          <w:lang w:val="bg-BG"/>
        </w:rPr>
        <w:t xml:space="preserve"> гена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284" w:leader="none"/>
        </w:tabs>
        <w:spacing w:lineRule="auto" w:line="276"/>
        <w:ind w:hanging="0" w:start="0" w:end="-30"/>
        <w:jc w:val="both"/>
        <w:rPr>
          <w:b/>
          <w:caps/>
          <w:u w:val="single"/>
        </w:rPr>
      </w:pPr>
      <w:r>
        <w:rPr>
          <w:b/>
          <w:lang w:val="bg-BG"/>
        </w:rPr>
        <w:t xml:space="preserve">Тест№ 17 Болест на Hirschsprung Секвенционен анализ на </w:t>
      </w:r>
      <w:r>
        <w:rPr>
          <w:b/>
          <w:i/>
          <w:lang w:val="en-US"/>
        </w:rPr>
        <w:t>RET</w:t>
      </w:r>
      <w:r>
        <w:rPr>
          <w:b/>
          <w:lang w:val="bg-BG"/>
        </w:rPr>
        <w:t xml:space="preserve"> гена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284" w:leader="none"/>
          <w:tab w:val="left" w:pos="450" w:leader="none"/>
        </w:tabs>
        <w:ind w:hanging="0" w:start="0"/>
        <w:rPr>
          <w:b/>
          <w:lang w:val="bg-BG" w:eastAsia="en-US"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</w:t>
      </w:r>
      <w:r>
        <w:rPr>
          <w:b/>
          <w:lang w:val="bg-BG" w:eastAsia="en-US"/>
        </w:rPr>
        <w:t>18 Множествена Ендокринна Неоплазия (MEN)</w:t>
      </w:r>
      <w:r>
        <w:rPr>
          <w:b/>
          <w:lang w:val="en-US" w:eastAsia="en-US"/>
        </w:rPr>
        <w:t xml:space="preserve"> </w:t>
      </w:r>
      <w:r>
        <w:rPr>
          <w:b/>
          <w:lang w:val="bg-BG"/>
        </w:rPr>
        <w:t xml:space="preserve">Анализ на </w:t>
      </w:r>
      <w:r>
        <w:rPr>
          <w:b/>
          <w:i/>
          <w:iCs/>
          <w:lang w:val="bg-BG"/>
        </w:rPr>
        <w:t>MEN1</w:t>
      </w:r>
      <w:r>
        <w:rPr>
          <w:b/>
          <w:lang w:val="bg-BG"/>
        </w:rPr>
        <w:t xml:space="preserve"> гена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284" w:leader="none"/>
          <w:tab w:val="left" w:pos="450" w:leader="none"/>
        </w:tabs>
        <w:ind w:hanging="0" w:start="0"/>
        <w:rPr>
          <w:b/>
          <w:lang w:val="bg-BG" w:eastAsia="en-US"/>
        </w:rPr>
      </w:pPr>
      <w:r>
        <w:rPr>
          <w:b/>
          <w:lang w:val="bg-BG" w:eastAsia="en-US"/>
        </w:rPr>
        <w:t>Тест№ 19 Множествена Ендокринна Неоплазия (MEN)</w:t>
      </w:r>
      <w:r>
        <w:rPr>
          <w:b/>
          <w:lang w:val="en-US" w:eastAsia="en-US"/>
        </w:rPr>
        <w:t xml:space="preserve"> </w:t>
      </w:r>
      <w:r>
        <w:rPr>
          <w:b/>
          <w:lang w:val="bg-BG"/>
        </w:rPr>
        <w:t xml:space="preserve">MEN2, Анализ на екзони 10,11,13, 14, 15, 16 на </w:t>
      </w:r>
      <w:r>
        <w:rPr>
          <w:b/>
          <w:i/>
          <w:iCs/>
          <w:lang w:val="bg-BG"/>
        </w:rPr>
        <w:t>RET</w:t>
      </w:r>
      <w:r>
        <w:rPr>
          <w:b/>
          <w:lang w:val="bg-BG"/>
        </w:rPr>
        <w:t xml:space="preserve"> гена (обхваща 90% от известните патогенни варианти)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284" w:leader="none"/>
          <w:tab w:val="left" w:pos="450" w:leader="none"/>
        </w:tabs>
        <w:ind w:hanging="0" w:start="0"/>
        <w:rPr>
          <w:b/>
          <w:lang w:val="bg-BG" w:eastAsia="en-US"/>
        </w:rPr>
      </w:pPr>
      <w:r>
        <w:rPr>
          <w:b/>
          <w:lang w:val="bg-BG" w:eastAsia="en-US"/>
        </w:rPr>
        <w:t xml:space="preserve">Тест№ 20. Множествена Ендокринна Неоплазия (MEN) </w:t>
      </w:r>
      <w:r>
        <w:rPr>
          <w:b/>
          <w:lang w:val="bg-BG"/>
        </w:rPr>
        <w:t xml:space="preserve">Анализ на  всички екзони на </w:t>
      </w:r>
      <w:r>
        <w:rPr>
          <w:b/>
          <w:i/>
          <w:iCs/>
          <w:lang w:val="bg-BG"/>
        </w:rPr>
        <w:t>RET</w:t>
      </w:r>
      <w:r>
        <w:rPr>
          <w:b/>
          <w:lang w:val="bg-BG"/>
        </w:rPr>
        <w:t xml:space="preserve"> гена (без екзони 10,11,13, 14, 15, 16)</w:t>
      </w:r>
    </w:p>
    <w:p>
      <w:pPr>
        <w:pStyle w:val="Normal"/>
        <w:numPr>
          <w:ilvl w:val="0"/>
          <w:numId w:val="6"/>
        </w:numPr>
        <w:tabs>
          <w:tab w:val="clear" w:pos="720"/>
          <w:tab w:val="left" w:pos="284" w:leader="none"/>
          <w:tab w:val="left" w:pos="450" w:leader="none"/>
        </w:tabs>
        <w:ind w:hanging="0" w:start="0"/>
        <w:rPr>
          <w:b/>
          <w:lang w:val="bg-BG" w:eastAsia="en-US"/>
        </w:rPr>
      </w:pPr>
      <w:r>
        <w:rPr>
          <w:b/>
          <w:lang w:val="bg-BG" w:eastAsia="en-US"/>
        </w:rPr>
        <w:t xml:space="preserve">Тест№ 21. Множествена Ендокринна Неоплазия (MEN) Анализ на </w:t>
      </w:r>
      <w:r>
        <w:rPr>
          <w:b/>
          <w:i/>
          <w:iCs/>
          <w:lang w:val="bg-BG" w:eastAsia="en-US"/>
        </w:rPr>
        <w:t>RET</w:t>
      </w:r>
      <w:r>
        <w:rPr>
          <w:b/>
          <w:lang w:val="bg-BG" w:eastAsia="en-US"/>
        </w:rPr>
        <w:t xml:space="preserve"> гена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284" w:leader="none"/>
        </w:tabs>
        <w:spacing w:lineRule="auto" w:line="276"/>
        <w:ind w:hanging="0" w:start="0" w:end="-30"/>
        <w:jc w:val="both"/>
        <w:rPr>
          <w:b/>
          <w:lang w:val="en-US"/>
        </w:rPr>
      </w:pPr>
      <w:r>
        <w:rPr>
          <w:b/>
          <w:lang w:val="en-US"/>
        </w:rPr>
        <w:t>Тест №2</w:t>
      </w:r>
      <w:r>
        <w:rPr>
          <w:b/>
          <w:lang w:val="bg-BG"/>
        </w:rPr>
        <w:t>2</w:t>
      </w:r>
      <w:r>
        <w:rPr>
          <w:b/>
          <w:lang w:val="en-US"/>
        </w:rPr>
        <w:t xml:space="preserve"> Синдром на Li-Fraumeni </w:t>
      </w:r>
      <w:r>
        <w:rPr>
          <w:b/>
          <w:lang w:val="bg-BG"/>
        </w:rPr>
        <w:t xml:space="preserve">Анализ на </w:t>
      </w:r>
      <w:r>
        <w:rPr>
          <w:b/>
          <w:i/>
          <w:iCs/>
          <w:lang w:val="bg-BG"/>
        </w:rPr>
        <w:t>TP53</w:t>
      </w:r>
      <w:r>
        <w:rPr>
          <w:b/>
          <w:lang w:val="bg-BG"/>
        </w:rPr>
        <w:t xml:space="preserve"> гена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spacing w:lineRule="auto" w:line="276"/>
        <w:ind w:hanging="0" w:start="0" w:end="-30"/>
        <w:jc w:val="both"/>
        <w:rPr>
          <w:b/>
          <w:u w:val="single"/>
          <w:lang w:val="en-US" w:eastAsia="en-US"/>
        </w:rPr>
      </w:pPr>
      <w:r>
        <w:rPr>
          <w:b/>
        </w:rPr>
        <w:t>Тест №2</w:t>
      </w:r>
      <w:r>
        <w:rPr>
          <w:b/>
          <w:lang w:val="bg-BG"/>
        </w:rPr>
        <w:t>3</w:t>
      </w:r>
      <w:r>
        <w:rPr>
          <w:b/>
        </w:rPr>
        <w:t xml:space="preserve"> </w:t>
      </w:r>
      <w:r>
        <w:rPr>
          <w:b/>
          <w:lang w:val="en-US"/>
        </w:rPr>
        <w:t xml:space="preserve">Синдром на Li-Fraumeni Големи делеции/инсерции пренареждания в </w:t>
      </w:r>
      <w:r>
        <w:rPr>
          <w:b/>
          <w:i/>
          <w:iCs/>
          <w:lang w:val="en-US"/>
        </w:rPr>
        <w:t>TP53</w:t>
      </w:r>
      <w:r>
        <w:rPr>
          <w:b/>
          <w:lang w:val="en-US"/>
        </w:rPr>
        <w:t xml:space="preserve"> гена 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</w:rPr>
        <w:t>Тест №2</w:t>
      </w:r>
      <w:r>
        <w:rPr>
          <w:b/>
          <w:lang w:val="bg-BG"/>
        </w:rPr>
        <w:t>4</w:t>
      </w:r>
      <w:r>
        <w:rPr>
          <w:b/>
        </w:rPr>
        <w:t xml:space="preserve"> Фамилен рак на простатата Цялостно екзомно секвениране (WES) и анализ на панел от гени*, асоциирани с рак на простатата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</w:rPr>
        <w:t>Тест №2</w:t>
      </w:r>
      <w:r>
        <w:rPr>
          <w:b/>
          <w:lang w:val="bg-BG"/>
        </w:rPr>
        <w:t>5</w:t>
      </w:r>
      <w:r>
        <w:rPr>
          <w:b/>
        </w:rPr>
        <w:t xml:space="preserve"> Фамилен рак на панкреаса Цялостно екзомно секвениране (WES) и анализ на панел от гени*, асоциирани с рак на панкреаса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</w:rPr>
        <w:t>Тест №2</w:t>
      </w:r>
      <w:r>
        <w:rPr>
          <w:b/>
          <w:lang w:val="bg-BG"/>
        </w:rPr>
        <w:t>6</w:t>
      </w:r>
      <w:r>
        <w:rPr>
          <w:b/>
        </w:rPr>
        <w:t xml:space="preserve"> Фамилен рак на кожата Цялостно екзомно секвениране (WES) и анализ на панел от гени*, асоциирани с рак на кожата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</w:rPr>
        <w:t>Тест №2</w:t>
      </w:r>
      <w:r>
        <w:rPr>
          <w:b/>
          <w:lang w:val="bg-BG"/>
        </w:rPr>
        <w:t>7</w:t>
      </w:r>
      <w:r>
        <w:rPr>
          <w:b/>
        </w:rPr>
        <w:t xml:space="preserve"> Наследствени онкологични заболявания, разширен панел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28</w:t>
      </w:r>
      <w:r>
        <w:rPr>
          <w:b/>
          <w:lang w:val="en-US"/>
        </w:rPr>
        <w:t xml:space="preserve"> Наследствен параганглиом - Феохромоцитом / PGL/PCC синдром – WES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29</w:t>
      </w:r>
      <w:r>
        <w:rPr>
          <w:b/>
          <w:lang w:val="en-US"/>
        </w:rPr>
        <w:t xml:space="preserve"> Наследствени синдроми свързани с тумори на ЦНС, ПНС -WES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3</w:t>
      </w:r>
      <w:r>
        <w:rPr>
          <w:b/>
          <w:lang w:val="bg-BG" w:eastAsia="en-US"/>
        </w:rPr>
        <w:t>0 RAS-опатии (синдром на Noonan и Noonan Spectrum заболявания)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31 Наследствен Невробластом – WES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32 Неврофиброматоза тип 1 - Анализ на дълбоки интронни варианти в </w:t>
      </w:r>
      <w:r>
        <w:rPr>
          <w:b/>
          <w:i/>
          <w:iCs/>
          <w:lang w:val="en-US" w:eastAsia="en-US"/>
        </w:rPr>
        <w:t>NF1</w:t>
      </w:r>
      <w:r>
        <w:rPr>
          <w:b/>
          <w:lang w:val="en-US" w:eastAsia="en-US"/>
        </w:rPr>
        <w:t xml:space="preserve"> гена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33 Неврофиброматоза тип 1 - Големи делеции/инсерции пренареждания в </w:t>
      </w:r>
      <w:r>
        <w:rPr>
          <w:b/>
          <w:i/>
          <w:iCs/>
          <w:lang w:val="en-US" w:eastAsia="en-US"/>
        </w:rPr>
        <w:t>NF1</w:t>
      </w:r>
      <w:r>
        <w:rPr>
          <w:b/>
          <w:lang w:val="en-US" w:eastAsia="en-US"/>
        </w:rPr>
        <w:t xml:space="preserve"> гена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34</w:t>
      </w:r>
      <w:r>
        <w:rPr>
          <w:b/>
          <w:lang w:val="bg-BG" w:eastAsia="en-US"/>
        </w:rPr>
        <w:t xml:space="preserve"> </w:t>
      </w:r>
      <w:r>
        <w:rPr>
          <w:b/>
          <w:lang w:val="en-US" w:eastAsia="en-US"/>
        </w:rPr>
        <w:t xml:space="preserve">Неврофиброматоза тип 2 - Големи делеции/инсерции пренареждания в </w:t>
      </w:r>
      <w:r>
        <w:rPr>
          <w:b/>
          <w:i/>
          <w:iCs/>
          <w:lang w:val="en-US" w:eastAsia="en-US"/>
        </w:rPr>
        <w:t>NF2</w:t>
      </w:r>
      <w:r>
        <w:rPr>
          <w:b/>
          <w:lang w:val="en-US" w:eastAsia="en-US"/>
        </w:rPr>
        <w:t xml:space="preserve"> гена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3</w:t>
      </w:r>
      <w:r>
        <w:rPr>
          <w:b/>
          <w:lang w:val="bg-BG" w:eastAsia="en-US"/>
        </w:rPr>
        <w:t xml:space="preserve">5 Синдром на Gorlin-Goltz - патогенни варианти в екзони 2, 3, 6, 8, 9, 10, 13, 15 на </w:t>
      </w:r>
      <w:r>
        <w:rPr>
          <w:b/>
          <w:i/>
          <w:iCs/>
          <w:lang w:val="bg-BG" w:eastAsia="en-US"/>
        </w:rPr>
        <w:t>PTCH1</w:t>
      </w:r>
      <w:r>
        <w:rPr>
          <w:b/>
          <w:lang w:val="bg-BG" w:eastAsia="en-US"/>
        </w:rPr>
        <w:t xml:space="preserve"> гена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28"/>
        <w:rPr>
          <w:b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3</w:t>
      </w:r>
      <w:r>
        <w:rPr>
          <w:b/>
          <w:lang w:val="bg-BG" w:eastAsia="en-US"/>
        </w:rPr>
        <w:t xml:space="preserve">6 Синдром на Gorlin-Goltz - патогенни варианти в екзони 1, 4, 5, 7, 11, 12, 14, 16, 17, 18, 19, 20, 21 22, 23 на </w:t>
      </w:r>
      <w:r>
        <w:rPr>
          <w:b/>
          <w:i/>
          <w:iCs/>
          <w:lang w:val="bg-BG" w:eastAsia="en-US"/>
        </w:rPr>
        <w:t>PTCH1</w:t>
      </w:r>
      <w:r>
        <w:rPr>
          <w:b/>
          <w:lang w:val="bg-BG" w:eastAsia="en-US"/>
        </w:rPr>
        <w:t xml:space="preserve"> гена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3</w:t>
      </w:r>
      <w:r>
        <w:rPr>
          <w:b/>
          <w:lang w:val="bg-BG" w:eastAsia="en-US"/>
        </w:rPr>
        <w:t xml:space="preserve">7 Синдром на Gorlin-Goltz - Анализ на </w:t>
      </w:r>
      <w:r>
        <w:rPr>
          <w:b/>
          <w:i/>
          <w:iCs/>
          <w:lang w:val="bg-BG" w:eastAsia="en-US"/>
        </w:rPr>
        <w:t>PTCH1</w:t>
      </w:r>
      <w:r>
        <w:rPr>
          <w:b/>
          <w:lang w:val="bg-BG" w:eastAsia="en-US"/>
        </w:rPr>
        <w:t xml:space="preserve"> гена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284" w:leader="none"/>
          <w:tab w:val="left" w:pos="9270" w:leader="dot"/>
        </w:tabs>
        <w:ind w:hanging="0" w:start="0" w:end="-1008"/>
        <w:rPr>
          <w:b/>
        </w:rPr>
      </w:pPr>
      <w:r>
        <w:rPr>
          <w:b/>
          <w:lang w:val="bg-BG" w:eastAsia="en-US"/>
        </w:rPr>
        <w:t>Тест №</w:t>
      </w:r>
      <w:r>
        <w:rPr>
          <w:b/>
          <w:lang w:val="en-US" w:eastAsia="en-US"/>
        </w:rPr>
        <w:t xml:space="preserve"> 3</w:t>
      </w:r>
      <w:r>
        <w:rPr>
          <w:b/>
          <w:lang w:val="bg-BG" w:eastAsia="en-US"/>
        </w:rPr>
        <w:t xml:space="preserve">8 </w:t>
      </w:r>
      <w:r>
        <w:rPr>
          <w:b/>
        </w:rPr>
        <w:t>Туберозна склероза</w:t>
      </w:r>
      <w:r>
        <w:rPr>
          <w:b/>
          <w:lang w:val="bg-BG"/>
        </w:rPr>
        <w:t xml:space="preserve"> - Цялостно екзомно секвениране (WES) и анализ на панел от гени*, асоциирани с туберозна склероза</w:t>
      </w:r>
    </w:p>
    <w:p>
      <w:pPr>
        <w:pStyle w:val="Normal"/>
        <w:tabs>
          <w:tab w:val="clear" w:pos="720"/>
          <w:tab w:val="left" w:pos="284" w:leader="none"/>
        </w:tabs>
        <w:spacing w:lineRule="auto" w:line="276"/>
        <w:ind w:end="-30"/>
        <w:jc w:val="both"/>
        <w:rPr>
          <w:b/>
          <w:lang w:val="bg-BG" w:eastAsia="en-US"/>
        </w:rPr>
      </w:pPr>
      <w:bookmarkStart w:id="1" w:name="_Hlk216861450"/>
      <w:r>
        <w:rPr>
          <w:b/>
          <w:u w:val="single"/>
          <w:lang w:val="bg-BG" w:eastAsia="en-US"/>
        </w:rPr>
        <w:t>БИОМАРКЕРИ</w:t>
      </w:r>
      <w:bookmarkEnd w:id="1"/>
      <w:r>
        <w:rPr>
          <w:b/>
          <w:u w:val="single"/>
          <w:lang w:val="bg-BG" w:eastAsia="en-US"/>
        </w:rPr>
        <w:t xml:space="preserve"> 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4" w:leader="none"/>
        </w:tabs>
        <w:spacing w:lineRule="auto" w:line="276"/>
        <w:ind w:hanging="0" w:start="0" w:end="-30"/>
        <w:jc w:val="both"/>
        <w:rPr>
          <w:b/>
          <w:u w:val="single"/>
          <w:lang w:val="bg-BG" w:eastAsia="en-US"/>
        </w:rPr>
      </w:pPr>
      <w:r>
        <w:rPr>
          <w:b/>
        </w:rPr>
        <w:t>Тест №</w:t>
      </w:r>
      <w:r>
        <w:rPr>
          <w:b/>
          <w:lang w:val="bg-BG"/>
        </w:rPr>
        <w:t>163</w:t>
      </w:r>
      <w:r>
        <w:rPr>
          <w:b/>
        </w:rPr>
        <w:t xml:space="preserve"> BRCA-свързан разширен панел за оценка на фамилен риск и избор на терапия</w:t>
      </w:r>
      <w:r>
        <w:rPr>
          <w:b/>
          <w:lang w:val="bg-BG"/>
        </w:rPr>
        <w:t xml:space="preserve">. Анализ на </w:t>
      </w:r>
      <w:r>
        <w:rPr>
          <w:b/>
          <w:i/>
          <w:iCs/>
          <w:lang w:val="bg-BG"/>
        </w:rPr>
        <w:t>BRCA1, BRCA2, CHEK2, PALB2, RAD51C</w:t>
      </w:r>
      <w:r>
        <w:rPr>
          <w:b/>
          <w:lang w:val="bg-BG"/>
        </w:rPr>
        <w:t xml:space="preserve"> и </w:t>
      </w:r>
      <w:r>
        <w:rPr>
          <w:b/>
          <w:i/>
          <w:iCs/>
          <w:lang w:val="bg-BG"/>
        </w:rPr>
        <w:t>TP53</w:t>
      </w:r>
      <w:r>
        <w:rPr>
          <w:b/>
          <w:lang w:val="bg-BG"/>
        </w:rPr>
        <w:t xml:space="preserve"> гените.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4" w:leader="none"/>
        </w:tabs>
        <w:spacing w:lineRule="auto" w:line="276"/>
        <w:ind w:hanging="0" w:start="0" w:end="-30"/>
        <w:jc w:val="both"/>
        <w:rPr>
          <w:b/>
          <w:u w:val="single"/>
          <w:lang w:val="bg-BG" w:eastAsia="en-US"/>
        </w:rPr>
      </w:pPr>
      <w:r>
        <w:rPr>
          <w:b/>
        </w:rPr>
        <w:t>Тест №</w:t>
      </w:r>
      <w:r>
        <w:rPr>
          <w:b/>
          <w:lang w:val="bg-BG"/>
        </w:rPr>
        <w:t xml:space="preserve">164 Избор на терапия при карцином на гърда - Анализ на соматични мутации в </w:t>
      </w:r>
      <w:r>
        <w:rPr>
          <w:b/>
          <w:i/>
          <w:iCs/>
          <w:lang w:val="bg-BG"/>
        </w:rPr>
        <w:t>ER1</w:t>
      </w:r>
      <w:r>
        <w:rPr>
          <w:b/>
          <w:lang w:val="bg-BG"/>
        </w:rPr>
        <w:t xml:space="preserve"> гена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4" w:leader="none"/>
        </w:tabs>
        <w:spacing w:lineRule="auto" w:line="276"/>
        <w:ind w:hanging="0" w:start="0" w:end="-30"/>
        <w:jc w:val="both"/>
        <w:rPr>
          <w:b/>
          <w:u w:val="single"/>
          <w:lang w:val="bg-BG" w:eastAsia="en-US"/>
        </w:rPr>
      </w:pPr>
      <w:r>
        <w:rPr>
          <w:b/>
        </w:rPr>
        <w:t>Тест №</w:t>
      </w:r>
      <w:r>
        <w:rPr>
          <w:b/>
          <w:lang w:val="bg-BG"/>
        </w:rPr>
        <w:t>165 Избор на терапия при карцином на гърда - Анализ на соматични PIC3CA hot-spot мутации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4" w:leader="none"/>
        </w:tabs>
        <w:spacing w:lineRule="auto" w:line="276"/>
        <w:ind w:hanging="0" w:start="0" w:end="-30"/>
        <w:jc w:val="both"/>
        <w:rPr>
          <w:b/>
          <w:u w:val="single"/>
          <w:lang w:val="bg-BG" w:eastAsia="en-US"/>
        </w:rPr>
      </w:pPr>
      <w:r>
        <w:rPr>
          <w:b/>
        </w:rPr>
        <w:t>Тест №</w:t>
      </w:r>
      <w:r>
        <w:rPr>
          <w:b/>
          <w:lang w:val="bg-BG"/>
        </w:rPr>
        <w:t>166 Избор на терапия при карцином на простатата. Таргетно секвениране на панел от HRR гени за установяване на варианти свързани с дефицит на хомоложна рекомбинация (HRD)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4" w:leader="none"/>
        </w:tabs>
        <w:spacing w:lineRule="auto" w:line="276"/>
        <w:ind w:hanging="0" w:start="0" w:end="-30"/>
        <w:jc w:val="both"/>
        <w:rPr>
          <w:b/>
          <w:u w:val="single"/>
          <w:lang w:val="bg-BG" w:eastAsia="en-US"/>
        </w:rPr>
      </w:pPr>
      <w:r>
        <w:rPr>
          <w:b/>
        </w:rPr>
        <w:t>Тест №</w:t>
      </w:r>
      <w:r>
        <w:rPr>
          <w:b/>
          <w:lang w:val="bg-BG"/>
        </w:rPr>
        <w:t>167 Избор на терапия при солидни тумори, свързани с дефицит на хомоложна рекомбинация (рак на гърдата, яйчник, простата и панкреас) - Установяване на дефицит на хомоложна рекомбинация (HRD)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4" w:leader="none"/>
        </w:tabs>
        <w:spacing w:lineRule="auto" w:line="276"/>
        <w:ind w:hanging="0" w:start="0" w:end="-30"/>
        <w:jc w:val="both"/>
        <w:rPr>
          <w:b/>
          <w:u w:val="single"/>
          <w:lang w:val="bg-BG" w:eastAsia="en-US"/>
        </w:rPr>
      </w:pPr>
      <w:r>
        <w:rPr>
          <w:b/>
        </w:rPr>
        <w:t>Тест №</w:t>
      </w:r>
      <w:r>
        <w:rPr>
          <w:b/>
          <w:lang w:val="bg-BG"/>
        </w:rPr>
        <w:t>168 Геномно профилиране във връзка с избор на терапия при солидни тумори - Анализ на соматични ДНК варианти в панел от гени* (SNVs, InDels,SVs, CNVs), генни фузии и сплайс варианти на РНК ниво, определяне на дефицит на хомоложна рекомбинация (HRD), (микросателитна нестабилност (MSI), туморен мутационен товар (TMB)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84" w:leader="none"/>
        </w:tabs>
        <w:spacing w:lineRule="auto" w:line="276"/>
        <w:ind w:hanging="0" w:start="0" w:end="-30"/>
        <w:jc w:val="both"/>
        <w:rPr>
          <w:b/>
          <w:u w:val="single"/>
          <w:lang w:val="bg-BG" w:eastAsia="en-US"/>
        </w:rPr>
      </w:pPr>
      <w:r>
        <w:rPr>
          <w:b/>
        </w:rPr>
        <w:t>Тест №169 Таргетно секвениране на панел  от гени при солидни тумори  във връзка с избор на терапия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№170 Прогностични маркери при тумори на централната нервна система – екзон 4 на </w:t>
      </w:r>
      <w:r>
        <w:rPr>
          <w:b/>
          <w:i/>
          <w:iCs/>
        </w:rPr>
        <w:t>IDH1</w:t>
      </w:r>
      <w:r>
        <w:rPr>
          <w:b/>
        </w:rPr>
        <w:t xml:space="preserve"> гена и екзон 4 на </w:t>
      </w:r>
      <w:r>
        <w:rPr>
          <w:b/>
          <w:i/>
          <w:iCs/>
        </w:rPr>
        <w:t>IDH2</w:t>
      </w:r>
      <w:r>
        <w:rPr>
          <w:b/>
        </w:rPr>
        <w:t xml:space="preserve"> гена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№171 Прогностични маркери при тумори на централната нервна система - големи делеции/инсерции пренареждания в хромозомните рамена 1p19q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№172 Прогностични маркери при тумори на централната нервна система - големи делеции/дупликации пренареждания в </w:t>
      </w:r>
      <w:r>
        <w:rPr>
          <w:b/>
          <w:i/>
          <w:iCs/>
        </w:rPr>
        <w:t>PDGFRA</w:t>
      </w:r>
      <w:r>
        <w:rPr>
          <w:b/>
        </w:rPr>
        <w:t xml:space="preserve"> (4q12), </w:t>
      </w:r>
      <w:r>
        <w:rPr>
          <w:b/>
          <w:i/>
          <w:iCs/>
        </w:rPr>
        <w:t>EGFR</w:t>
      </w:r>
      <w:r>
        <w:rPr>
          <w:b/>
        </w:rPr>
        <w:t xml:space="preserve"> (7p11.2), </w:t>
      </w:r>
      <w:r>
        <w:rPr>
          <w:b/>
          <w:i/>
          <w:iCs/>
        </w:rPr>
        <w:t>CDKN2A</w:t>
      </w:r>
      <w:r>
        <w:rPr>
          <w:b/>
        </w:rPr>
        <w:t xml:space="preserve"> (9p21.3), </w:t>
      </w:r>
      <w:r>
        <w:rPr>
          <w:b/>
          <w:i/>
          <w:iCs/>
        </w:rPr>
        <w:t>PTEN</w:t>
      </w:r>
      <w:r>
        <w:rPr>
          <w:b/>
        </w:rPr>
        <w:t xml:space="preserve"> (10q23.31), </w:t>
      </w:r>
      <w:r>
        <w:rPr>
          <w:b/>
          <w:i/>
          <w:iCs/>
        </w:rPr>
        <w:t>CDK4</w:t>
      </w:r>
      <w:r>
        <w:rPr>
          <w:b/>
        </w:rPr>
        <w:t xml:space="preserve">, </w:t>
      </w:r>
      <w:r>
        <w:rPr>
          <w:b/>
          <w:i/>
          <w:iCs/>
        </w:rPr>
        <w:t>MIR26A2</w:t>
      </w:r>
      <w:r>
        <w:rPr>
          <w:b/>
        </w:rPr>
        <w:t xml:space="preserve">, </w:t>
      </w:r>
      <w:r>
        <w:rPr>
          <w:b/>
          <w:i/>
          <w:iCs/>
        </w:rPr>
        <w:t>MDM2</w:t>
      </w:r>
      <w:r>
        <w:rPr>
          <w:b/>
        </w:rPr>
        <w:t xml:space="preserve"> (12q14-q15), </w:t>
      </w:r>
      <w:r>
        <w:rPr>
          <w:b/>
          <w:i/>
          <w:iCs/>
        </w:rPr>
        <w:t>NFKBIA</w:t>
      </w:r>
      <w:r>
        <w:rPr>
          <w:b/>
        </w:rPr>
        <w:t xml:space="preserve"> (14q13.2) и </w:t>
      </w:r>
      <w:r>
        <w:rPr>
          <w:b/>
          <w:i/>
          <w:iCs/>
        </w:rPr>
        <w:t>TP53</w:t>
      </w:r>
      <w:r>
        <w:rPr>
          <w:b/>
        </w:rPr>
        <w:t xml:space="preserve"> (17p13.1) гените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№173 Диагностични маркери при тумори в централната нервна система, ендометриум, стомах и др. - Анализ на </w:t>
      </w:r>
      <w:r>
        <w:rPr>
          <w:b/>
          <w:i/>
          <w:iCs/>
        </w:rPr>
        <w:t>ATRX</w:t>
      </w:r>
      <w:r>
        <w:rPr>
          <w:b/>
        </w:rPr>
        <w:t xml:space="preserve"> гена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№174 Диагностични маркери при тумори в централната нервна система, ендометриум, стомах и др. - Големи делеции/инсерции в </w:t>
      </w:r>
      <w:r>
        <w:rPr>
          <w:b/>
          <w:i/>
          <w:iCs/>
        </w:rPr>
        <w:t>ATRX</w:t>
      </w:r>
      <w:r>
        <w:rPr>
          <w:b/>
        </w:rPr>
        <w:t xml:space="preserve"> гена 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№175 Диагностични и прогностични маркери при мозъчни, ПНЕТ, тироидни и други тумори - патогенни варианти в промоторния участък на </w:t>
      </w:r>
      <w:r>
        <w:rPr>
          <w:b/>
          <w:i/>
          <w:iCs/>
        </w:rPr>
        <w:t>TERT</w:t>
      </w:r>
      <w:r>
        <w:rPr>
          <w:b/>
        </w:rPr>
        <w:t xml:space="preserve"> гена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№176 Диагностични и прогностични маркери при мозъчни, ПНЕТ, тироидни и други тумори - патогенни варианти в екзон 2 на </w:t>
      </w:r>
      <w:r>
        <w:rPr>
          <w:b/>
          <w:i/>
          <w:iCs/>
        </w:rPr>
        <w:t>H3F3A</w:t>
      </w:r>
      <w:r>
        <w:rPr>
          <w:b/>
        </w:rPr>
        <w:t xml:space="preserve"> гена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№177 Диагностични и прогностични маркери при мозъчни, ПНЕТ, тироидни и други тумори - патогенни варианти в екзон 1 на </w:t>
      </w:r>
      <w:r>
        <w:rPr>
          <w:b/>
          <w:i/>
          <w:iCs/>
        </w:rPr>
        <w:t>HIST1H3B</w:t>
      </w:r>
      <w:r>
        <w:rPr>
          <w:b/>
        </w:rPr>
        <w:t xml:space="preserve"> и </w:t>
      </w:r>
      <w:r>
        <w:rPr>
          <w:b/>
          <w:i/>
          <w:iCs/>
        </w:rPr>
        <w:t>HIST1H3C</w:t>
      </w:r>
      <w:r>
        <w:rPr>
          <w:b/>
        </w:rPr>
        <w:t xml:space="preserve"> гените.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№178 Диагностичен маркер за наличие на DICER1 синдром - Анализ на </w:t>
      </w:r>
      <w:r>
        <w:rPr>
          <w:b/>
          <w:i/>
          <w:iCs/>
        </w:rPr>
        <w:t>DICER1</w:t>
      </w:r>
      <w:r>
        <w:rPr>
          <w:b/>
        </w:rPr>
        <w:t xml:space="preserve"> гена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№17</w:t>
      </w:r>
      <w:r>
        <w:rPr>
          <w:b/>
          <w:lang w:val="bg-BG"/>
        </w:rPr>
        <w:t>9 Диагностични и предиктивни маркери за таргетна терапия при Гастроинтестинален стромален тумор (GIST) -</w:t>
      </w:r>
      <w:r>
        <w:rPr/>
        <w:t xml:space="preserve"> </w:t>
      </w:r>
      <w:r>
        <w:rPr>
          <w:b/>
          <w:lang w:val="bg-BG"/>
        </w:rPr>
        <w:t xml:space="preserve">патогенни варианти в екзони 8, 9, 11, 13, 14, 17 и 18 на </w:t>
      </w:r>
      <w:r>
        <w:rPr>
          <w:b/>
          <w:i/>
          <w:iCs/>
          <w:lang w:val="bg-BG"/>
        </w:rPr>
        <w:t>сKIT</w:t>
      </w:r>
      <w:r>
        <w:rPr>
          <w:b/>
          <w:lang w:val="bg-BG"/>
        </w:rPr>
        <w:t xml:space="preserve"> гена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№1</w:t>
      </w:r>
      <w:r>
        <w:rPr>
          <w:b/>
          <w:lang w:val="bg-BG"/>
        </w:rPr>
        <w:t xml:space="preserve">80 Диагностични и предиктивни маркери за таргетна терапия при Гастроинтестинален стромален тумор (GIST) - патогенни варианти в екзони 12, 14 и 18 на </w:t>
      </w:r>
      <w:r>
        <w:rPr>
          <w:b/>
          <w:i/>
          <w:iCs/>
          <w:lang w:val="bg-BG"/>
        </w:rPr>
        <w:t>PDGFRA</w:t>
      </w:r>
      <w:r>
        <w:rPr>
          <w:b/>
          <w:lang w:val="bg-BG"/>
        </w:rPr>
        <w:t xml:space="preserve"> гена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№1</w:t>
      </w:r>
      <w:r>
        <w:rPr>
          <w:b/>
          <w:lang w:val="bg-BG"/>
        </w:rPr>
        <w:t xml:space="preserve">81 Диагностични и предиктивни маркери за таргетна терапия при Гастроинтестинален стромален тумор (GIST) – патогенни варианти в екзони 9 и 11 на </w:t>
      </w:r>
      <w:r>
        <w:rPr>
          <w:b/>
          <w:i/>
          <w:iCs/>
          <w:lang w:val="bg-BG"/>
        </w:rPr>
        <w:t>сKIT</w:t>
      </w:r>
      <w:r>
        <w:rPr>
          <w:b/>
          <w:lang w:val="bg-BG"/>
        </w:rPr>
        <w:t xml:space="preserve"> гена и екзон 18 на </w:t>
      </w:r>
      <w:r>
        <w:rPr>
          <w:b/>
          <w:i/>
          <w:iCs/>
          <w:lang w:val="bg-BG"/>
        </w:rPr>
        <w:t>PDGFRA</w:t>
      </w:r>
      <w:r>
        <w:rPr>
          <w:b/>
          <w:lang w:val="bg-BG"/>
        </w:rPr>
        <w:t xml:space="preserve"> гена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№1</w:t>
      </w:r>
      <w:r>
        <w:rPr>
          <w:b/>
          <w:lang w:val="bg-BG"/>
        </w:rPr>
        <w:t xml:space="preserve">82 Диагностични и предиктивни маркери за таргетна терапия при Гастроинтестинален стромален тумор (GIST) - патогенни варианти в екзони 8, 13, 14, 17 и 18 на </w:t>
      </w:r>
      <w:r>
        <w:rPr>
          <w:b/>
          <w:i/>
          <w:iCs/>
          <w:lang w:val="bg-BG"/>
        </w:rPr>
        <w:t>сKIT</w:t>
      </w:r>
      <w:r>
        <w:rPr>
          <w:b/>
          <w:lang w:val="bg-BG"/>
        </w:rPr>
        <w:t xml:space="preserve"> гена, екзони 12 и 14 на </w:t>
      </w:r>
      <w:r>
        <w:rPr>
          <w:b/>
          <w:i/>
          <w:iCs/>
          <w:lang w:val="bg-BG"/>
        </w:rPr>
        <w:t>PDGFRA</w:t>
      </w:r>
      <w:r>
        <w:rPr>
          <w:b/>
          <w:lang w:val="bg-BG"/>
        </w:rPr>
        <w:t xml:space="preserve"> гена и екзон 15 на </w:t>
      </w:r>
      <w:r>
        <w:rPr>
          <w:b/>
          <w:i/>
          <w:iCs/>
          <w:lang w:val="bg-BG"/>
        </w:rPr>
        <w:t>BRAF</w:t>
      </w:r>
      <w:r>
        <w:rPr>
          <w:b/>
          <w:lang w:val="bg-BG"/>
        </w:rPr>
        <w:t xml:space="preserve"> гена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№183 Предиктивен маркер BRAF (V600) патогенни варианти за таргетна терапия при онкологични заболявания (меланома, колоректален и белодробен карциноми, на щитовидната жлеза, ГИСТ, мозъчни тумори и др.) - патогенни варианти в екзон 15 на </w:t>
      </w:r>
      <w:r>
        <w:rPr>
          <w:b/>
          <w:i/>
          <w:iCs/>
        </w:rPr>
        <w:t>BRAF</w:t>
      </w:r>
      <w:r>
        <w:rPr>
          <w:b/>
        </w:rPr>
        <w:t xml:space="preserve"> гена (V600)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№18</w:t>
      </w:r>
      <w:r>
        <w:rPr>
          <w:b/>
          <w:lang w:val="bg-BG"/>
        </w:rPr>
        <w:t xml:space="preserve">4 Предиктивен маркер за таргетна терапия при хронична лимфоцитна левкемия/ХЛЛ/ - Анализ на </w:t>
      </w:r>
      <w:r>
        <w:rPr>
          <w:b/>
          <w:i/>
          <w:iCs/>
          <w:lang w:val="bg-BG"/>
        </w:rPr>
        <w:t>TP53</w:t>
      </w:r>
      <w:r>
        <w:rPr>
          <w:b/>
          <w:lang w:val="bg-BG"/>
        </w:rPr>
        <w:t xml:space="preserve"> гена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№18</w:t>
      </w:r>
      <w:r>
        <w:rPr>
          <w:b/>
          <w:lang w:val="bg-BG"/>
        </w:rPr>
        <w:t xml:space="preserve">5 Предиктивен маркер за таргетна терапия при хронична лимфоцитна левкемия/ХЛЛ/ - Анализ на </w:t>
      </w:r>
      <w:r>
        <w:rPr>
          <w:b/>
          <w:i/>
          <w:iCs/>
          <w:lang w:val="bg-BG"/>
        </w:rPr>
        <w:t>TP53</w:t>
      </w:r>
      <w:r>
        <w:rPr>
          <w:b/>
          <w:lang w:val="bg-BG"/>
        </w:rPr>
        <w:t xml:space="preserve"> гена, WES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№18</w:t>
      </w:r>
      <w:r>
        <w:rPr>
          <w:b/>
          <w:lang w:val="bg-BG"/>
        </w:rPr>
        <w:t>6 Предиктивен маркер за таргетна терапия при хронична лимфоцитна левкемия/ХЛЛ/ - Дупликации/делеции на 17p13 (</w:t>
      </w:r>
      <w:r>
        <w:rPr>
          <w:b/>
          <w:i/>
          <w:iCs/>
          <w:lang w:val="bg-BG"/>
        </w:rPr>
        <w:t>TP53</w:t>
      </w:r>
      <w:r>
        <w:rPr>
          <w:b/>
          <w:lang w:val="bg-BG"/>
        </w:rPr>
        <w:t xml:space="preserve"> гена), 13q14 (</w:t>
      </w:r>
      <w:r>
        <w:rPr>
          <w:b/>
          <w:i/>
          <w:iCs/>
          <w:lang w:val="bg-BG"/>
        </w:rPr>
        <w:t>RB1/DLEU/MIR15A</w:t>
      </w:r>
      <w:r>
        <w:rPr>
          <w:b/>
          <w:lang w:val="bg-BG"/>
        </w:rPr>
        <w:t>-region), 11q22 (</w:t>
      </w:r>
      <w:r>
        <w:rPr>
          <w:b/>
          <w:i/>
          <w:iCs/>
          <w:lang w:val="bg-BG"/>
        </w:rPr>
        <w:t>ATM</w:t>
      </w:r>
      <w:r>
        <w:rPr>
          <w:b/>
          <w:lang w:val="bg-BG"/>
        </w:rPr>
        <w:t>, тризомия 12)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№18</w:t>
      </w:r>
      <w:r>
        <w:rPr>
          <w:b/>
          <w:lang w:val="en-GB"/>
        </w:rPr>
        <w:t>9</w:t>
      </w:r>
      <w:r>
        <w:rPr>
          <w:b/>
          <w:lang w:val="bg-BG"/>
        </w:rPr>
        <w:t xml:space="preserve"> </w:t>
      </w:r>
      <w:r>
        <w:rPr>
          <w:b/>
        </w:rPr>
        <w:t xml:space="preserve">Оптимизиране на терапията с метотрексат - Анализ на 5 полиморфни варианта в </w:t>
      </w:r>
      <w:r>
        <w:rPr>
          <w:b/>
          <w:i/>
          <w:iCs/>
        </w:rPr>
        <w:t>MTHFR</w:t>
      </w:r>
      <w:r>
        <w:rPr>
          <w:b/>
        </w:rPr>
        <w:t xml:space="preserve"> и </w:t>
      </w:r>
      <w:r>
        <w:rPr>
          <w:b/>
          <w:i/>
          <w:iCs/>
        </w:rPr>
        <w:t>ABCB1</w:t>
      </w:r>
      <w:r>
        <w:rPr>
          <w:b/>
        </w:rPr>
        <w:t xml:space="preserve"> гени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№191</w:t>
      </w:r>
      <w:r>
        <w:rPr>
          <w:b/>
          <w:lang w:val="bg-BG"/>
        </w:rPr>
        <w:t xml:space="preserve"> </w:t>
      </w:r>
      <w:r>
        <w:rPr>
          <w:b/>
        </w:rPr>
        <w:t>Изследване на DPYD варианти за оптимизиране на химиотерапия с 5-флуороурацил и капецитабин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 </w:t>
      </w:r>
      <w:r>
        <w:rPr>
          <w:b/>
        </w:rPr>
        <w:t>Тест №192 Минималната резидуална болест (Minimal residual disease) при пациенти с невробластом - Анализ на панел от два (</w:t>
      </w:r>
      <w:r>
        <w:rPr>
          <w:b/>
          <w:i/>
          <w:iCs/>
        </w:rPr>
        <w:t>TH</w:t>
      </w:r>
      <w:r>
        <w:rPr>
          <w:b/>
        </w:rPr>
        <w:t xml:space="preserve"> и </w:t>
      </w:r>
      <w:r>
        <w:rPr>
          <w:b/>
          <w:i/>
          <w:iCs/>
        </w:rPr>
        <w:t>PHOX2B</w:t>
      </w:r>
      <w:r>
        <w:rPr>
          <w:b/>
        </w:rPr>
        <w:t>) експресионни маркера при пациенти с Невробластом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№193 Оптимизиране на терапията с лекарствени препарати от групата на тиопурините (Azathioprine, Mercaptopurine и Thioguanine) - Анализ на 17 полиморфни варианта в гена </w:t>
      </w:r>
      <w:r>
        <w:rPr>
          <w:b/>
          <w:i/>
          <w:iCs/>
        </w:rPr>
        <w:t>TPMT</w:t>
      </w:r>
      <w:r>
        <w:rPr>
          <w:b/>
        </w:rPr>
        <w:t>.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№194 Оптимизиране на терапията с лекарствени препарати от групата на тиопурините (Azathioprine, Mercaptopurine и Thioguanine) - Анализ на 18 полиморфни варианта в гена </w:t>
      </w:r>
      <w:r>
        <w:rPr>
          <w:b/>
          <w:i/>
          <w:iCs/>
        </w:rPr>
        <w:t>NUDT15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№198 Диагностични маркери при мозъчни, рабдоидни, солидни и други тумори - Анализ на </w:t>
      </w:r>
      <w:r>
        <w:rPr>
          <w:b/>
          <w:i/>
          <w:iCs/>
        </w:rPr>
        <w:t>SMARCB1</w:t>
      </w:r>
      <w:r>
        <w:rPr>
          <w:b/>
        </w:rPr>
        <w:t xml:space="preserve"> гена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№199 Диагностични маркери при мозъчни, рабдоидни, солидни и други тумори - Делеции/дупликации в регион 22q11.21-q12.2, включващ гените </w:t>
      </w:r>
      <w:r>
        <w:rPr>
          <w:b/>
          <w:i/>
          <w:iCs/>
        </w:rPr>
        <w:t>TBX1, DGCR8, SNAP29, LZTR1, PPIL2, GNAZ, SMARCB1</w:t>
      </w:r>
      <w:r>
        <w:rPr>
          <w:b/>
        </w:rPr>
        <w:t xml:space="preserve">(INI1), </w:t>
      </w:r>
      <w:r>
        <w:rPr>
          <w:b/>
          <w:i/>
          <w:iCs/>
        </w:rPr>
        <w:t>SNRPD3</w:t>
      </w:r>
      <w:r>
        <w:rPr>
          <w:b/>
        </w:rPr>
        <w:t xml:space="preserve">, </w:t>
      </w:r>
      <w:r>
        <w:rPr>
          <w:b/>
          <w:i/>
          <w:iCs/>
        </w:rPr>
        <w:t>SEZ6L, NIPSNAP1</w:t>
      </w:r>
    </w:p>
    <w:p>
      <w:pPr>
        <w:pStyle w:val="ListParagraph"/>
        <w:tabs>
          <w:tab w:val="clear" w:pos="720"/>
          <w:tab w:val="left" w:pos="270" w:leader="none"/>
        </w:tabs>
        <w:spacing w:lineRule="auto" w:line="276"/>
        <w:ind w:start="0" w:end="-30"/>
        <w:jc w:val="both"/>
        <w:rPr>
          <w:b/>
        </w:rPr>
      </w:pPr>
      <w:bookmarkStart w:id="2" w:name="_Hlk216866415"/>
      <w:r>
        <w:rPr>
          <w:b/>
          <w:caps/>
          <w:u w:val="single"/>
          <w:lang w:val="bg-BG" w:eastAsia="en-US"/>
        </w:rPr>
        <w:t>Цялостно екзомно секвениране (WES</w:t>
      </w:r>
      <w:r>
        <w:rPr>
          <w:b/>
        </w:rPr>
        <w:t>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№200 Анализ на разширен панел за фамилни онкологични заболявания и интерпретация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№201 Цялостно екзомно секвениране (WES) и анализ и интерпретация на клиничен екзом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bookmarkStart w:id="3" w:name="_Hlk216866415"/>
      <w:r>
        <w:rPr>
          <w:b/>
        </w:rPr>
        <w:t>Тест №202 Цялостно екзомно секвениране (WES) на пациент и двама родители, включва анализ и интерпретация</w:t>
      </w:r>
      <w:bookmarkEnd w:id="3"/>
    </w:p>
    <w:p>
      <w:pPr>
        <w:pStyle w:val="Normal"/>
        <w:tabs>
          <w:tab w:val="clear" w:pos="720"/>
          <w:tab w:val="left" w:pos="284" w:leader="none"/>
        </w:tabs>
        <w:spacing w:lineRule="auto" w:line="276"/>
        <w:ind w:end="-30"/>
        <w:jc w:val="both"/>
        <w:rPr>
          <w:b/>
          <w:caps/>
          <w:u w:val="single"/>
          <w:lang w:val="bg-BG" w:eastAsia="en-US"/>
        </w:rPr>
      </w:pPr>
      <w:r>
        <w:rPr>
          <w:b/>
          <w:caps/>
          <w:u w:val="single"/>
          <w:lang w:val="bg-BG" w:eastAsia="en-US"/>
        </w:rPr>
        <w:t>ОПРЕДЕЛЯНЕ НОСИТЕЛСТВО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№203 Определяне на носителство на известен патогенен вариант в семейство с наследствено заболяване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№204 Определяне на носителство на вариант, открит след секвениране от следващо поколение (NGS)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№205 Потвърдителен анализ /сегрегация на CNV вариант открит след секвениране от следващо поколение (NGS)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№206 Потвърдителен анализ /сегрегация на аберации, открити чрез микрочипов анализ и NGS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№207 Потвърдителен анализ /7сегрегация на CNV вариант открит след секвениране от следващо поколение (NGS)</w:t>
      </w:r>
    </w:p>
    <w:p>
      <w:pPr>
        <w:pStyle w:val="Normal"/>
        <w:tabs>
          <w:tab w:val="clear" w:pos="720"/>
          <w:tab w:val="left" w:pos="284" w:leader="none"/>
        </w:tabs>
        <w:spacing w:lineRule="auto" w:line="276"/>
        <w:ind w:end="-30"/>
        <w:jc w:val="both"/>
        <w:rPr>
          <w:b/>
          <w:caps/>
          <w:u w:val="single"/>
          <w:lang w:val="bg-BG" w:eastAsia="en-US"/>
        </w:rPr>
      </w:pPr>
      <w:r>
        <w:rPr>
          <w:b/>
          <w:caps/>
          <w:u w:val="single"/>
          <w:lang w:val="bg-BG" w:eastAsia="en-US"/>
        </w:rPr>
        <w:t>МИКРОЧИПОВ АНАЛИЗ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№208 Микроделеционни/микродупликационни синдроми в целия геном</w:t>
      </w:r>
    </w:p>
    <w:p>
      <w:pPr>
        <w:pStyle w:val="Normal"/>
        <w:tabs>
          <w:tab w:val="clear" w:pos="720"/>
          <w:tab w:val="left" w:pos="284" w:leader="none"/>
        </w:tabs>
        <w:spacing w:lineRule="auto" w:line="276"/>
        <w:ind w:end="-30"/>
        <w:jc w:val="both"/>
        <w:rPr>
          <w:b/>
          <w:caps/>
          <w:u w:val="single"/>
          <w:lang w:val="bg-BG" w:eastAsia="en-US"/>
        </w:rPr>
      </w:pPr>
      <w:bookmarkStart w:id="4" w:name="_Hlk216865909"/>
      <w:r>
        <w:rPr>
          <w:b/>
          <w:caps/>
          <w:u w:val="single"/>
          <w:lang w:val="bg-BG" w:eastAsia="en-US"/>
        </w:rPr>
        <w:t>УСЛУГИ с реактиви осигурени от МЗ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№233 Микрочипов анализ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№234 Пълно екзомно секвениране и интерпретация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№235 Цялостно геномно секвениране с анализ и интерпретация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№237 Неврофиброматоза тип 1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№238 Неврофиброматоза тип 2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 xml:space="preserve">Тест №240 Хромозомни промени в броя копия при детски солидни тумори 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r>
        <w:rPr>
          <w:b/>
        </w:rPr>
        <w:t>Тест №241 Детски солидни тумори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270" w:leader="none"/>
        </w:tabs>
        <w:spacing w:lineRule="auto" w:line="276"/>
        <w:ind w:hanging="0" w:start="0" w:end="-30"/>
        <w:jc w:val="both"/>
        <w:rPr>
          <w:b/>
        </w:rPr>
      </w:pPr>
      <w:bookmarkStart w:id="5" w:name="_Hlk216865909"/>
      <w:r>
        <w:rPr>
          <w:b/>
        </w:rPr>
        <w:t>Тест №………</w:t>
      </w:r>
      <w:bookmarkEnd w:id="5"/>
    </w:p>
    <w:p>
      <w:pPr>
        <w:pStyle w:val="Normal"/>
        <w:tabs>
          <w:tab w:val="clear" w:pos="720"/>
          <w:tab w:val="left" w:pos="360" w:leader="none"/>
          <w:tab w:val="left" w:pos="450" w:leader="none"/>
          <w:tab w:val="left" w:pos="567" w:leader="none"/>
        </w:tabs>
        <w:ind w:end="-30"/>
        <w:jc w:val="both"/>
        <w:rPr>
          <w:b/>
          <w:lang w:val="en-US"/>
        </w:rPr>
      </w:pPr>
      <w:r>
        <w:rPr>
          <w:i/>
        </w:rPr>
        <w:t xml:space="preserve">С √ отбележете желания генетичен тест. </w:t>
      </w:r>
      <w:r>
        <w:rPr>
          <w:i/>
          <w:lang w:val="bg-BG"/>
        </w:rPr>
        <w:t xml:space="preserve"> </w:t>
      </w:r>
    </w:p>
    <w:p>
      <w:pPr>
        <w:pStyle w:val="Normal"/>
        <w:ind w:end="-30"/>
        <w:rPr>
          <w:b/>
          <w:sz w:val="24"/>
          <w:szCs w:val="24"/>
          <w:lang w:val="bg-BG"/>
        </w:rPr>
      </w:pPr>
      <w:r>
        <w:rPr>
          <w:b/>
          <w:sz w:val="24"/>
          <w:szCs w:val="24"/>
          <w:lang w:val="bg-BG"/>
        </w:rPr>
      </w:r>
    </w:p>
    <w:p>
      <w:pPr>
        <w:pStyle w:val="Normal"/>
        <w:ind w:end="-30"/>
        <w:rPr>
          <w:b/>
          <w:sz w:val="24"/>
          <w:szCs w:val="24"/>
          <w:lang w:val="ru-RU"/>
        </w:rPr>
      </w:pPr>
      <w:bookmarkStart w:id="6" w:name="_Hlk216864066"/>
      <w:r>
        <w:rPr>
          <w:b/>
          <w:sz w:val="24"/>
          <w:szCs w:val="24"/>
          <w:lang w:val="bg-BG"/>
        </w:rPr>
        <w:t>ЛАБОРАТОРНА ИНФОРМАЦИЯ</w:t>
      </w:r>
    </w:p>
    <w:p>
      <w:pPr>
        <w:pStyle w:val="Normal"/>
        <w:ind w:end="-30"/>
        <w:rPr>
          <w:b/>
          <w:lang w:val="bg-BG"/>
        </w:rPr>
      </w:pPr>
      <w:r>
        <w:rPr>
          <w:b/>
          <w:lang w:val="bg-BG"/>
        </w:rPr>
      </w:r>
    </w:p>
    <w:p>
      <w:pPr>
        <w:pStyle w:val="Normal"/>
        <w:tabs>
          <w:tab w:val="clear" w:pos="720"/>
          <w:tab w:val="left" w:pos="6804" w:leader="none"/>
        </w:tabs>
        <w:ind w:end="-30"/>
        <w:rPr>
          <w:b/>
          <w:sz w:val="18"/>
          <w:szCs w:val="18"/>
          <w:lang w:val="en-US"/>
        </w:rPr>
      </w:pPr>
      <w:bookmarkStart w:id="7" w:name="_Hlk216862227"/>
      <w:r>
        <w:rPr>
          <w:b/>
          <w:sz w:val="18"/>
          <w:szCs w:val="18"/>
          <w:u w:val="single"/>
          <w:lang w:val="bg-BG"/>
        </w:rPr>
        <w:t>ПРИЕМАНЕ НА ПРОБАТА</w:t>
      </w:r>
      <w:r>
        <w:rPr>
          <w:b/>
          <w:sz w:val="18"/>
          <w:szCs w:val="18"/>
          <w:u w:val="single"/>
          <w:lang w:val="en-GB"/>
        </w:rPr>
        <w:t>_</w:t>
      </w:r>
      <w:r>
        <w:rPr>
          <w:b/>
          <w:sz w:val="18"/>
          <w:szCs w:val="18"/>
          <w:lang w:val="en-US"/>
        </w:rPr>
        <w:t>_____________________________________________________________________________________</w:t>
      </w:r>
      <w:bookmarkEnd w:id="7"/>
    </w:p>
    <w:p>
      <w:pPr>
        <w:pStyle w:val="Normal"/>
        <w:tabs>
          <w:tab w:val="clear" w:pos="720"/>
          <w:tab w:val="left" w:pos="6237" w:leader="none"/>
        </w:tabs>
        <w:ind w:end="-30"/>
        <w:rPr>
          <w:b/>
          <w:sz w:val="18"/>
          <w:szCs w:val="18"/>
          <w:lang w:val="bg-BG"/>
        </w:rPr>
      </w:pPr>
      <w:r>
        <w:rPr>
          <w:b/>
          <w:sz w:val="18"/>
          <w:szCs w:val="18"/>
          <w:lang w:val="bg-BG"/>
        </w:rPr>
        <w:tab/>
      </w:r>
      <w:r>
        <w:rPr>
          <w:b/>
          <w:sz w:val="14"/>
          <w:szCs w:val="14"/>
          <w:lang w:val="bg-BG"/>
        </w:rPr>
        <w:t>КОМЕНТАР</w:t>
      </w:r>
    </w:p>
    <w:p>
      <w:pPr>
        <w:pStyle w:val="Normal"/>
        <w:ind w:end="-30"/>
        <w:rPr>
          <w:sz w:val="16"/>
          <w:lang w:val="bg-BG"/>
        </w:rPr>
      </w:pPr>
      <w:r>
        <w:rPr>
          <w:b/>
          <w:sz w:val="18"/>
          <w:szCs w:val="18"/>
          <w:lang w:val="bg-BG"/>
        </w:rPr>
        <w:t>ПРИЕЛ:</w:t>
      </w:r>
      <w:r>
        <w:rPr>
          <w:b/>
          <w:sz w:val="16"/>
          <w:lang w:val="bg-BG"/>
        </w:rPr>
        <w:t xml:space="preserve"> </w:t>
      </w:r>
      <w:r>
        <w:rPr>
          <w:sz w:val="16"/>
          <w:lang w:val="bg-BG"/>
        </w:rPr>
        <w:t>[_</w:t>
      </w:r>
      <w:r>
        <w:rPr>
          <w:sz w:val="16"/>
          <w:u w:val="single"/>
          <w:lang w:val="bg-BG"/>
        </w:rPr>
        <w:t>______________________________________________________________________]</w:t>
      </w:r>
      <w:r>
        <w:rPr>
          <w:sz w:val="16"/>
          <w:lang w:val="bg-BG"/>
        </w:rPr>
        <w:t>[</w:t>
      </w:r>
      <w:r>
        <w:rPr>
          <w:sz w:val="16"/>
          <w:u w:val="single"/>
          <w:lang w:val="bg-BG"/>
        </w:rPr>
        <w:t>______</w:t>
      </w:r>
      <w:r>
        <w:rPr>
          <w:sz w:val="16"/>
          <w:lang w:val="bg-BG"/>
        </w:rPr>
        <w:t>][</w:t>
      </w:r>
      <w:r>
        <w:rPr>
          <w:sz w:val="16"/>
          <w:u w:val="single"/>
          <w:lang w:val="bg-BG"/>
        </w:rPr>
        <w:t>______</w:t>
      </w:r>
      <w:r>
        <w:rPr>
          <w:sz w:val="16"/>
          <w:lang w:val="bg-BG"/>
        </w:rPr>
        <w:t>][</w:t>
      </w:r>
      <w:r>
        <w:rPr>
          <w:sz w:val="16"/>
          <w:u w:val="single"/>
          <w:lang w:val="bg-BG"/>
        </w:rPr>
        <w:t>_________</w:t>
      </w:r>
      <w:r>
        <w:rPr>
          <w:sz w:val="16"/>
          <w:lang w:val="bg-BG"/>
        </w:rPr>
        <w:t>][_</w:t>
      </w:r>
      <w:r>
        <w:rPr>
          <w:sz w:val="16"/>
          <w:u w:val="single"/>
          <w:lang w:val="bg-BG"/>
        </w:rPr>
        <w:t>_____________________</w:t>
      </w:r>
      <w:r>
        <w:rPr>
          <w:sz w:val="16"/>
          <w:u w:val="single"/>
          <w:lang w:val="ru-RU"/>
        </w:rPr>
        <w:t>_______</w:t>
      </w:r>
      <w:r>
        <w:rPr>
          <w:sz w:val="16"/>
          <w:lang w:val="ru-RU"/>
        </w:rPr>
        <w:t>_</w:t>
      </w:r>
      <w:r>
        <w:rPr>
          <w:sz w:val="16"/>
          <w:lang w:val="bg-BG"/>
        </w:rPr>
        <w:t>]</w:t>
      </w:r>
    </w:p>
    <w:p>
      <w:pPr>
        <w:pStyle w:val="Normal"/>
        <w:ind w:start="1418" w:end="-30"/>
        <w:jc w:val="center"/>
        <w:rPr>
          <w:i/>
          <w:sz w:val="16"/>
          <w:lang w:val="bg-BG"/>
        </w:rPr>
      </w:pPr>
      <w:r>
        <w:rPr>
          <w:i/>
          <w:sz w:val="16"/>
          <w:lang w:val="bg-BG"/>
        </w:rPr>
        <w:t>Име, фамилия</w:t>
        <w:tab/>
        <w:tab/>
        <w:tab/>
        <w:tab/>
        <w:t xml:space="preserve">   Дата</w:t>
        <w:tab/>
        <w:tab/>
        <w:t xml:space="preserve">      </w:t>
      </w:r>
      <w:r>
        <w:rPr>
          <w:i/>
          <w:sz w:val="16"/>
          <w:lang w:val="ru-RU"/>
        </w:rPr>
        <w:t xml:space="preserve">           </w:t>
      </w:r>
      <w:r>
        <w:rPr>
          <w:i/>
          <w:sz w:val="16"/>
          <w:lang w:val="bg-BG"/>
        </w:rPr>
        <w:t xml:space="preserve"> Подпис</w:t>
      </w:r>
    </w:p>
    <w:p>
      <w:pPr>
        <w:pStyle w:val="Normal"/>
        <w:ind w:end="-30"/>
        <w:rPr>
          <w:b/>
          <w:lang w:val="bg-BG"/>
        </w:rPr>
      </w:pPr>
      <w:r>
        <w:rPr>
          <w:b/>
          <w:lang w:val="bg-BG"/>
        </w:rPr>
        <w:t>ИЗОЛИРАНЕ НА ДНК</w:t>
      </w:r>
    </w:p>
    <w:tbl>
      <w:tblPr>
        <w:tblW w:w="10120" w:type="dxa"/>
        <w:jc w:val="start"/>
        <w:tblInd w:w="-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000" w:noHBand="0" w:noVBand="0" w:firstColumn="0" w:lastRow="0" w:lastColumn="0" w:firstRow="0"/>
      </w:tblPr>
      <w:tblGrid>
        <w:gridCol w:w="1100"/>
        <w:gridCol w:w="1210"/>
        <w:gridCol w:w="1334"/>
        <w:gridCol w:w="1151"/>
        <w:gridCol w:w="1035"/>
        <w:gridCol w:w="1100"/>
        <w:gridCol w:w="989"/>
        <w:gridCol w:w="1211"/>
        <w:gridCol w:w="990"/>
      </w:tblGrid>
      <w:tr>
        <w:trPr/>
        <w:tc>
          <w:tcPr>
            <w:tcW w:w="110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Код на ДНК</w:t>
            </w:r>
          </w:p>
        </w:tc>
        <w:tc>
          <w:tcPr>
            <w:tcW w:w="12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№</w:t>
            </w:r>
          </w:p>
          <w:p>
            <w:pPr>
              <w:pStyle w:val="Normal"/>
              <w:ind w:end="-30"/>
              <w:jc w:val="center"/>
              <w:rPr>
                <w:b/>
                <w:i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родословие</w:t>
            </w:r>
          </w:p>
        </w:tc>
        <w:tc>
          <w:tcPr>
            <w:tcW w:w="1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jc w:val="center"/>
              <w:rPr>
                <w:b/>
                <w:i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ru-RU"/>
              </w:rPr>
              <w:t>В</w:t>
            </w:r>
            <w:r>
              <w:rPr>
                <w:b/>
                <w:sz w:val="18"/>
                <w:szCs w:val="18"/>
                <w:lang w:val="bg-BG"/>
              </w:rPr>
              <w:t>ид материал</w:t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Количество</w:t>
            </w:r>
          </w:p>
          <w:p>
            <w:pPr>
              <w:pStyle w:val="Normal"/>
              <w:ind w:end="-30"/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en-US"/>
              </w:rPr>
              <w:t>(ml)</w:t>
            </w:r>
          </w:p>
        </w:tc>
        <w:tc>
          <w:tcPr>
            <w:tcW w:w="10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jc w:val="center"/>
              <w:rPr>
                <w:b/>
                <w:sz w:val="18"/>
                <w:szCs w:val="18"/>
                <w:lang w:val="ru-RU"/>
              </w:rPr>
            </w:pPr>
            <w:r>
              <w:rPr>
                <w:b/>
                <w:sz w:val="18"/>
                <w:szCs w:val="18"/>
                <w:lang w:val="bg-BG"/>
              </w:rPr>
              <w:t>Д</w:t>
            </w:r>
            <w:r>
              <w:rPr>
                <w:b/>
                <w:sz w:val="18"/>
                <w:szCs w:val="18"/>
                <w:lang w:val="ru-RU"/>
              </w:rPr>
              <w:t>ата</w:t>
            </w:r>
          </w:p>
          <w:p>
            <w:pPr>
              <w:pStyle w:val="Normal"/>
              <w:ind w:end="-30"/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изолиране</w:t>
            </w:r>
          </w:p>
        </w:tc>
        <w:tc>
          <w:tcPr>
            <w:tcW w:w="110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М</w:t>
            </w:r>
            <w:r>
              <w:rPr>
                <w:b/>
                <w:sz w:val="18"/>
                <w:szCs w:val="18"/>
                <w:lang w:val="ru-RU"/>
              </w:rPr>
              <w:t>етод</w:t>
            </w:r>
          </w:p>
        </w:tc>
        <w:tc>
          <w:tcPr>
            <w:tcW w:w="9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Добив</w:t>
            </w:r>
          </w:p>
          <w:p>
            <w:pPr>
              <w:pStyle w:val="Normal"/>
              <w:ind w:end="-30"/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en-US"/>
              </w:rPr>
              <w:t>(ng)</w:t>
            </w:r>
          </w:p>
        </w:tc>
        <w:tc>
          <w:tcPr>
            <w:tcW w:w="12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Място на съхранение</w:t>
            </w:r>
          </w:p>
        </w:tc>
        <w:tc>
          <w:tcPr>
            <w:tcW w:w="9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jc w:val="center"/>
              <w:rPr>
                <w:b/>
                <w:sz w:val="18"/>
                <w:szCs w:val="18"/>
                <w:lang w:val="bg-BG"/>
              </w:rPr>
            </w:pPr>
            <w:r>
              <w:rPr>
                <w:b/>
                <w:sz w:val="18"/>
                <w:szCs w:val="18"/>
                <w:lang w:val="bg-BG"/>
              </w:rPr>
              <w:t>Забележка</w:t>
            </w:r>
          </w:p>
        </w:tc>
      </w:tr>
      <w:tr>
        <w:trPr/>
        <w:tc>
          <w:tcPr>
            <w:tcW w:w="110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lang w:val="bg-BG"/>
              </w:rPr>
            </w:pPr>
            <w:r>
              <w:rPr>
                <w:lang w:val="bg-BG"/>
              </w:rPr>
            </w:r>
          </w:p>
        </w:tc>
        <w:tc>
          <w:tcPr>
            <w:tcW w:w="12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lang w:val="bg-BG"/>
              </w:rPr>
            </w:pPr>
            <w:r>
              <w:rPr>
                <w:lang w:val="bg-BG"/>
              </w:rPr>
            </w:r>
          </w:p>
        </w:tc>
        <w:tc>
          <w:tcPr>
            <w:tcW w:w="1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bg-BG"/>
              </w:rPr>
            </w:pPr>
            <w:r>
              <w:rPr>
                <w:i/>
                <w:lang w:val="bg-BG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ru-RU"/>
              </w:rPr>
            </w:pPr>
            <w:r>
              <w:rPr>
                <w:i/>
                <w:lang w:val="ru-RU"/>
              </w:rPr>
            </w:r>
          </w:p>
        </w:tc>
        <w:tc>
          <w:tcPr>
            <w:tcW w:w="10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ru-RU"/>
              </w:rPr>
            </w:pPr>
            <w:r>
              <w:rPr>
                <w:i/>
                <w:lang w:val="ru-RU"/>
              </w:rPr>
            </w:r>
          </w:p>
        </w:tc>
        <w:tc>
          <w:tcPr>
            <w:tcW w:w="110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bg-BG"/>
              </w:rPr>
            </w:pPr>
            <w:r>
              <w:rPr>
                <w:i/>
                <w:lang w:val="bg-BG"/>
              </w:rPr>
            </w:r>
          </w:p>
        </w:tc>
        <w:tc>
          <w:tcPr>
            <w:tcW w:w="9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lang w:val="bg-BG"/>
              </w:rPr>
            </w:pPr>
            <w:r>
              <w:rPr>
                <w:lang w:val="bg-BG"/>
              </w:rPr>
            </w:r>
          </w:p>
        </w:tc>
        <w:tc>
          <w:tcPr>
            <w:tcW w:w="12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lang w:val="bg-BG"/>
              </w:rPr>
            </w:pPr>
            <w:r>
              <w:rPr>
                <w:lang w:val="bg-BG"/>
              </w:rPr>
            </w:r>
          </w:p>
        </w:tc>
        <w:tc>
          <w:tcPr>
            <w:tcW w:w="9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lang w:val="bg-BG"/>
              </w:rPr>
            </w:pPr>
            <w:r>
              <w:rPr>
                <w:lang w:val="bg-BG"/>
              </w:rPr>
            </w:r>
          </w:p>
        </w:tc>
      </w:tr>
      <w:tr>
        <w:trPr/>
        <w:tc>
          <w:tcPr>
            <w:tcW w:w="110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bg-BG"/>
              </w:rPr>
            </w:pPr>
            <w:r>
              <w:rPr>
                <w:i/>
                <w:lang w:val="bg-BG"/>
              </w:rPr>
            </w:r>
          </w:p>
        </w:tc>
        <w:tc>
          <w:tcPr>
            <w:tcW w:w="12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eu-ES"/>
              </w:rPr>
            </w:pPr>
            <w:r>
              <w:rPr>
                <w:i/>
                <w:lang w:val="eu-ES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ru-RU"/>
              </w:rPr>
            </w:pPr>
            <w:r>
              <w:rPr>
                <w:i/>
                <w:lang w:val="ru-RU"/>
              </w:rPr>
            </w:r>
          </w:p>
        </w:tc>
        <w:tc>
          <w:tcPr>
            <w:tcW w:w="10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bg-BG"/>
              </w:rPr>
            </w:pPr>
            <w:r>
              <w:rPr>
                <w:i/>
                <w:lang w:val="bg-BG"/>
              </w:rPr>
            </w:r>
          </w:p>
        </w:tc>
        <w:tc>
          <w:tcPr>
            <w:tcW w:w="110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ru-RU"/>
              </w:rPr>
            </w:pPr>
            <w:r>
              <w:rPr>
                <w:i/>
                <w:lang w:val="ru-RU"/>
              </w:rPr>
            </w:r>
          </w:p>
        </w:tc>
        <w:tc>
          <w:tcPr>
            <w:tcW w:w="9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bg-BG"/>
              </w:rPr>
            </w:pPr>
            <w:r>
              <w:rPr>
                <w:i/>
                <w:lang w:val="bg-BG"/>
              </w:rPr>
            </w:r>
          </w:p>
        </w:tc>
        <w:tc>
          <w:tcPr>
            <w:tcW w:w="12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bg-BG"/>
              </w:rPr>
            </w:pPr>
            <w:r>
              <w:rPr>
                <w:i/>
                <w:lang w:val="bg-BG"/>
              </w:rPr>
            </w:r>
          </w:p>
        </w:tc>
        <w:tc>
          <w:tcPr>
            <w:tcW w:w="9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bg-BG"/>
              </w:rPr>
            </w:pPr>
            <w:r>
              <w:rPr>
                <w:i/>
                <w:lang w:val="bg-BG"/>
              </w:rPr>
            </w:r>
          </w:p>
        </w:tc>
      </w:tr>
      <w:tr>
        <w:trPr/>
        <w:tc>
          <w:tcPr>
            <w:tcW w:w="110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eu-ES"/>
              </w:rPr>
            </w:pPr>
            <w:r>
              <w:rPr>
                <w:i/>
                <w:lang w:val="eu-ES"/>
              </w:rPr>
            </w:r>
          </w:p>
        </w:tc>
        <w:tc>
          <w:tcPr>
            <w:tcW w:w="121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lang w:val="ru-RU"/>
              </w:rPr>
            </w:pPr>
            <w:r>
              <w:rPr>
                <w:lang w:val="ru-RU"/>
              </w:rPr>
            </w:r>
          </w:p>
        </w:tc>
        <w:tc>
          <w:tcPr>
            <w:tcW w:w="1334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bg-BG"/>
              </w:rPr>
            </w:pPr>
            <w:r>
              <w:rPr>
                <w:i/>
                <w:lang w:val="bg-BG"/>
              </w:rPr>
            </w:r>
          </w:p>
        </w:tc>
        <w:tc>
          <w:tcPr>
            <w:tcW w:w="11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ru-RU"/>
              </w:rPr>
            </w:pPr>
            <w:r>
              <w:rPr>
                <w:i/>
                <w:lang w:val="ru-RU"/>
              </w:rPr>
            </w:r>
          </w:p>
        </w:tc>
        <w:tc>
          <w:tcPr>
            <w:tcW w:w="103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ru-RU"/>
              </w:rPr>
            </w:pPr>
            <w:r>
              <w:rPr>
                <w:i/>
                <w:lang w:val="ru-RU"/>
              </w:rPr>
            </w:r>
          </w:p>
        </w:tc>
        <w:tc>
          <w:tcPr>
            <w:tcW w:w="110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ru-RU"/>
              </w:rPr>
            </w:pPr>
            <w:r>
              <w:rPr>
                <w:i/>
                <w:lang w:val="ru-RU"/>
              </w:rPr>
            </w:r>
          </w:p>
        </w:tc>
        <w:tc>
          <w:tcPr>
            <w:tcW w:w="989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eu-ES"/>
              </w:rPr>
            </w:pPr>
            <w:r>
              <w:rPr>
                <w:i/>
                <w:lang w:val="eu-ES"/>
              </w:rPr>
            </w:r>
          </w:p>
        </w:tc>
        <w:tc>
          <w:tcPr>
            <w:tcW w:w="121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eu-ES"/>
              </w:rPr>
            </w:pPr>
            <w:r>
              <w:rPr>
                <w:i/>
                <w:lang w:val="eu-ES"/>
              </w:rPr>
            </w:r>
          </w:p>
        </w:tc>
        <w:tc>
          <w:tcPr>
            <w:tcW w:w="990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Normal"/>
              <w:ind w:end="-30"/>
              <w:rPr>
                <w:i/>
                <w:lang w:val="eu-ES"/>
              </w:rPr>
            </w:pPr>
            <w:r>
              <w:rPr>
                <w:i/>
                <w:lang w:val="eu-ES"/>
              </w:rPr>
            </w:r>
          </w:p>
        </w:tc>
      </w:tr>
    </w:tbl>
    <w:p>
      <w:pPr>
        <w:pStyle w:val="Normal"/>
        <w:rPr>
          <w:b/>
          <w:sz w:val="18"/>
          <w:szCs w:val="18"/>
          <w:lang w:val="bg-BG"/>
        </w:rPr>
      </w:pPr>
      <w:r>
        <w:rPr>
          <w:b/>
          <w:sz w:val="18"/>
          <w:szCs w:val="18"/>
          <w:lang w:val="bg-BG"/>
        </w:rPr>
      </w:r>
    </w:p>
    <w:p>
      <w:pPr>
        <w:pStyle w:val="Normal"/>
        <w:rPr>
          <w:b/>
          <w:sz w:val="16"/>
          <w:lang w:val="ru-RU"/>
        </w:rPr>
      </w:pPr>
      <w:r>
        <w:rPr>
          <w:b/>
          <w:sz w:val="18"/>
          <w:szCs w:val="18"/>
          <w:lang w:val="bg-BG"/>
        </w:rPr>
        <w:t>ИЗОЛИРАЛ:</w:t>
      </w:r>
      <w:r>
        <w:rPr>
          <w:b/>
          <w:sz w:val="16"/>
          <w:lang w:val="bg-BG"/>
        </w:rPr>
        <w:t xml:space="preserve"> [________________________________________________________________________][______][______</w:t>
      </w:r>
      <w:r>
        <w:rPr>
          <w:b/>
          <w:sz w:val="18"/>
          <w:szCs w:val="18"/>
          <w:lang w:val="ru-RU"/>
        </w:rPr>
        <w:t>][</w:t>
      </w:r>
      <w:r>
        <w:rPr>
          <w:b/>
          <w:sz w:val="16"/>
          <w:lang w:val="bg-BG"/>
        </w:rPr>
        <w:t>____</w:t>
      </w:r>
      <w:r>
        <w:rPr>
          <w:b/>
          <w:sz w:val="16"/>
          <w:lang w:val="ru-RU"/>
        </w:rPr>
        <w:t>_</w:t>
      </w:r>
      <w:r>
        <w:rPr>
          <w:b/>
          <w:sz w:val="16"/>
          <w:lang w:val="bg-BG"/>
        </w:rPr>
        <w:t>_____][_________________</w:t>
      </w:r>
      <w:r>
        <w:rPr>
          <w:b/>
          <w:sz w:val="16"/>
          <w:lang w:val="ru-RU"/>
        </w:rPr>
        <w:t>__</w:t>
      </w:r>
      <w:r>
        <w:rPr>
          <w:b/>
          <w:sz w:val="16"/>
          <w:lang w:val="bg-BG"/>
        </w:rPr>
        <w:t>_____</w:t>
      </w:r>
      <w:r>
        <w:rPr>
          <w:b/>
          <w:sz w:val="18"/>
          <w:szCs w:val="18"/>
          <w:lang w:val="ru-RU"/>
        </w:rPr>
        <w:t>]</w:t>
      </w:r>
    </w:p>
    <w:p>
      <w:pPr>
        <w:pStyle w:val="Normal"/>
        <w:ind w:end="-30"/>
        <w:rPr>
          <w:i/>
          <w:sz w:val="16"/>
          <w:lang w:val="bg-BG"/>
        </w:rPr>
      </w:pPr>
      <w:r>
        <w:rPr>
          <w:i/>
          <w:sz w:val="16"/>
          <w:lang w:val="bg-BG"/>
        </w:rPr>
        <w:t xml:space="preserve">                                                                                       </w:t>
      </w:r>
      <w:r>
        <w:rPr>
          <w:i/>
          <w:sz w:val="16"/>
          <w:lang w:val="bg-BG"/>
        </w:rPr>
        <w:t>Име, фамилия</w:t>
        <w:tab/>
        <w:tab/>
        <w:tab/>
        <w:t xml:space="preserve">                                   Дата</w:t>
        <w:tab/>
        <w:tab/>
        <w:t xml:space="preserve">      </w:t>
      </w:r>
      <w:r>
        <w:rPr>
          <w:i/>
          <w:sz w:val="16"/>
          <w:lang w:val="ru-RU"/>
        </w:rPr>
        <w:t xml:space="preserve">     </w:t>
      </w:r>
      <w:r>
        <w:rPr>
          <w:i/>
          <w:sz w:val="16"/>
          <w:lang w:val="bg-BG"/>
        </w:rPr>
        <w:t>Подпис</w:t>
      </w:r>
      <w:bookmarkEnd w:id="6"/>
    </w:p>
    <w:p>
      <w:pPr>
        <w:pStyle w:val="Normal"/>
        <w:rPr>
          <w:b/>
          <w:i/>
          <w:sz w:val="16"/>
          <w:szCs w:val="16"/>
          <w:lang w:val="ru-RU"/>
        </w:rPr>
      </w:pPr>
      <w:r>
        <w:rPr>
          <w:b/>
          <w:i/>
          <w:sz w:val="16"/>
          <w:szCs w:val="16"/>
          <w:lang w:val="ru-RU"/>
        </w:rPr>
      </w:r>
    </w:p>
    <w:p>
      <w:pPr>
        <w:pStyle w:val="Normal"/>
        <w:jc w:val="center"/>
        <w:rPr>
          <w:b/>
          <w:i/>
          <w:sz w:val="16"/>
          <w:szCs w:val="16"/>
          <w:lang w:val="ru-RU"/>
        </w:rPr>
      </w:pPr>
      <w:r>
        <w:rPr>
          <w:b/>
          <w:i/>
          <w:sz w:val="16"/>
          <w:szCs w:val="16"/>
          <w:lang w:val="ru-RU"/>
        </w:rPr>
        <w:t>ИЗИСКВАНИЯ ЗА ВЗЕМАНЕ НА МАТЕРИАЛ</w:t>
      </w:r>
    </w:p>
    <w:p>
      <w:pPr>
        <w:pStyle w:val="Normal"/>
        <w:rPr>
          <w:b/>
          <w:i/>
          <w:sz w:val="16"/>
          <w:szCs w:val="16"/>
          <w:lang w:val="bg-BG"/>
        </w:rPr>
      </w:pPr>
      <w:r>
        <w:rPr>
          <w:b/>
          <w:i/>
          <w:sz w:val="16"/>
          <w:szCs w:val="16"/>
          <w:lang w:val="ru-RU"/>
        </w:rPr>
        <w:t>1.Изисквания за вземане на кръв:</w:t>
      </w:r>
    </w:p>
    <w:p>
      <w:pPr>
        <w:pStyle w:val="Normal"/>
        <w:numPr>
          <w:ilvl w:val="0"/>
          <w:numId w:val="3"/>
        </w:numPr>
        <w:jc w:val="both"/>
        <w:rPr>
          <w:i/>
          <w:sz w:val="16"/>
          <w:szCs w:val="16"/>
          <w:lang w:val="ru-RU"/>
        </w:rPr>
      </w:pPr>
      <w:r>
        <w:rPr>
          <w:i/>
          <w:sz w:val="16"/>
          <w:szCs w:val="16"/>
          <w:lang w:val="ru-RU"/>
        </w:rPr>
        <w:t>1. Кръвта се взема половин до един час след хранене</w:t>
      </w:r>
      <w:r>
        <w:rPr>
          <w:i/>
          <w:sz w:val="16"/>
          <w:szCs w:val="16"/>
          <w:lang w:val="bg-BG"/>
        </w:rPr>
        <w:t xml:space="preserve"> </w:t>
      </w:r>
      <w:r>
        <w:rPr>
          <w:i/>
          <w:sz w:val="16"/>
          <w:szCs w:val="16"/>
          <w:lang w:val="ru-RU"/>
        </w:rPr>
        <w:t xml:space="preserve">във вакуум- епруветка с ЕДТА (лилава капачка) в количество </w:t>
      </w:r>
      <w:r>
        <w:rPr>
          <w:b/>
          <w:i/>
          <w:sz w:val="16"/>
          <w:szCs w:val="16"/>
          <w:lang w:val="bg-BG"/>
        </w:rPr>
        <w:t xml:space="preserve">6 </w:t>
      </w:r>
      <w:r>
        <w:rPr>
          <w:i/>
          <w:sz w:val="16"/>
          <w:szCs w:val="16"/>
          <w:lang w:val="ru-RU"/>
        </w:rPr>
        <w:t>мл., след което се обръща внимателно няколко пъти</w:t>
      </w:r>
      <w:r>
        <w:rPr>
          <w:i/>
          <w:sz w:val="16"/>
          <w:szCs w:val="16"/>
          <w:lang w:val="bg-BG"/>
        </w:rPr>
        <w:t>. Надписва се епруветката с трите имена, дата на раждане на пациента и диагноза</w:t>
      </w:r>
      <w:r>
        <w:rPr>
          <w:b/>
          <w:i/>
          <w:sz w:val="16"/>
          <w:szCs w:val="16"/>
          <w:lang w:val="bg-BG"/>
        </w:rPr>
        <w:t>. Може да се с</w:t>
      </w:r>
      <w:r>
        <w:rPr>
          <w:b/>
          <w:i/>
          <w:sz w:val="16"/>
          <w:szCs w:val="16"/>
          <w:lang w:val="ru-RU"/>
        </w:rPr>
        <w:t>ъхранява</w:t>
      </w:r>
      <w:r>
        <w:rPr>
          <w:b/>
          <w:i/>
          <w:sz w:val="16"/>
          <w:szCs w:val="16"/>
          <w:lang w:val="bg-BG"/>
        </w:rPr>
        <w:t xml:space="preserve"> се </w:t>
      </w:r>
      <w:r>
        <w:rPr>
          <w:b/>
          <w:i/>
          <w:sz w:val="16"/>
          <w:szCs w:val="16"/>
          <w:lang w:val="ru-RU"/>
        </w:rPr>
        <w:t xml:space="preserve"> в </w:t>
      </w:r>
      <w:r>
        <w:rPr>
          <w:i/>
          <w:sz w:val="16"/>
          <w:szCs w:val="16"/>
          <w:lang w:val="ru-RU"/>
        </w:rPr>
        <w:t xml:space="preserve">хладилник при + 40 С до 24 часа след вземането. Да не се замразява!. При невъзможност за директно транспортиране до лабораторията. Предпочитано количество: </w:t>
      </w:r>
    </w:p>
    <w:p>
      <w:pPr>
        <w:pStyle w:val="Normal"/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>
        <w:rPr>
          <w:i/>
          <w:sz w:val="16"/>
          <w:szCs w:val="16"/>
          <w:lang w:val="ru-RU"/>
        </w:rPr>
        <w:t xml:space="preserve">Новородени:  2-3 мл </w:t>
      </w:r>
    </w:p>
    <w:p>
      <w:pPr>
        <w:pStyle w:val="Normal"/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>
        <w:rPr>
          <w:i/>
          <w:sz w:val="16"/>
          <w:szCs w:val="16"/>
          <w:lang w:val="ru-RU"/>
        </w:rPr>
        <w:t>Деца: 3-5 мл</w:t>
      </w:r>
    </w:p>
    <w:p>
      <w:pPr>
        <w:pStyle w:val="Normal"/>
        <w:numPr>
          <w:ilvl w:val="0"/>
          <w:numId w:val="2"/>
        </w:numPr>
        <w:jc w:val="both"/>
        <w:rPr>
          <w:i/>
          <w:sz w:val="16"/>
          <w:szCs w:val="16"/>
          <w:lang w:val="ru-RU"/>
        </w:rPr>
      </w:pPr>
      <w:r>
        <w:rPr>
          <w:i/>
          <w:sz w:val="16"/>
          <w:szCs w:val="16"/>
          <w:lang w:val="ru-RU"/>
        </w:rPr>
        <w:t>Възрастни: 5-10 мл</w:t>
      </w:r>
    </w:p>
    <w:p>
      <w:pPr>
        <w:pStyle w:val="Normal"/>
        <w:jc w:val="both"/>
        <w:rPr>
          <w:b/>
          <w:i/>
          <w:sz w:val="16"/>
          <w:szCs w:val="16"/>
          <w:lang w:val="ru-RU"/>
        </w:rPr>
      </w:pPr>
      <w:r>
        <w:rPr>
          <w:b/>
          <w:i/>
          <w:sz w:val="16"/>
          <w:szCs w:val="16"/>
          <w:lang w:val="ru-RU"/>
        </w:rPr>
        <w:t>2. Изисквания за взимане на биопсия (свежа туморна тъкан):</w:t>
      </w:r>
    </w:p>
    <w:p>
      <w:pPr>
        <w:pStyle w:val="Normal"/>
        <w:jc w:val="both"/>
        <w:rPr>
          <w:b/>
          <w:i/>
          <w:sz w:val="16"/>
          <w:szCs w:val="16"/>
          <w:lang w:val="bg-BG"/>
        </w:rPr>
      </w:pPr>
      <w:r>
        <w:rPr>
          <w:i/>
          <w:sz w:val="16"/>
          <w:szCs w:val="16"/>
          <w:lang w:val="ru-RU"/>
        </w:rPr>
        <w:t>Биопсията се взима по възможност от област съдъраща максимално туморна тъкан</w:t>
      </w:r>
      <w:r>
        <w:rPr>
          <w:i/>
          <w:sz w:val="16"/>
          <w:szCs w:val="16"/>
          <w:lang w:val="bg-BG"/>
        </w:rPr>
        <w:t xml:space="preserve">. </w:t>
      </w:r>
      <w:r>
        <w:rPr>
          <w:i/>
          <w:sz w:val="16"/>
          <w:szCs w:val="16"/>
          <w:lang w:val="ru-RU"/>
        </w:rPr>
        <w:t xml:space="preserve"> Размера на всяко късче, отделено от тумора е желателно да бъде поне 1-3 см</w:t>
      </w:r>
      <w:r>
        <w:rPr>
          <w:i/>
          <w:sz w:val="16"/>
          <w:szCs w:val="16"/>
          <w:vertAlign w:val="superscript"/>
          <w:lang w:val="ru-RU"/>
        </w:rPr>
        <w:t xml:space="preserve">2. </w:t>
      </w:r>
      <w:r>
        <w:rPr>
          <w:i/>
          <w:sz w:val="16"/>
          <w:szCs w:val="16"/>
          <w:lang w:val="ru-RU"/>
        </w:rPr>
        <w:t xml:space="preserve"> </w:t>
      </w:r>
      <w:r>
        <w:rPr>
          <w:i/>
          <w:sz w:val="16"/>
          <w:szCs w:val="16"/>
          <w:lang w:val="bg-BG"/>
        </w:rPr>
        <w:t xml:space="preserve">Биопсията </w:t>
      </w:r>
      <w:r>
        <w:rPr>
          <w:i/>
          <w:sz w:val="16"/>
          <w:szCs w:val="16"/>
          <w:lang w:val="ru-RU"/>
        </w:rPr>
        <w:t xml:space="preserve"> се поставя в стерилна епруветка, </w:t>
      </w:r>
      <w:r>
        <w:rPr>
          <w:i/>
          <w:sz w:val="16"/>
          <w:szCs w:val="16"/>
          <w:lang w:val="bg-BG"/>
        </w:rPr>
        <w:t>надписани с трите имена и дата на раждане на пациента и означения Т(тумор)</w:t>
      </w:r>
      <w:r>
        <w:rPr>
          <w:b/>
          <w:i/>
          <w:sz w:val="16"/>
          <w:szCs w:val="16"/>
          <w:lang w:val="bg-BG"/>
        </w:rPr>
        <w:t>.</w:t>
      </w:r>
    </w:p>
    <w:p>
      <w:pPr>
        <w:pStyle w:val="Normal"/>
        <w:jc w:val="both"/>
        <w:rPr>
          <w:b/>
          <w:i/>
          <w:sz w:val="16"/>
          <w:szCs w:val="16"/>
          <w:lang w:val="bg-BG"/>
        </w:rPr>
      </w:pPr>
      <w:r>
        <w:rPr>
          <w:b/>
          <w:i/>
          <w:sz w:val="16"/>
          <w:szCs w:val="16"/>
          <w:lang w:val="bg-BG"/>
        </w:rPr>
        <w:t xml:space="preserve"> </w:t>
      </w:r>
      <w:r>
        <w:rPr>
          <w:b/>
          <w:i/>
          <w:sz w:val="16"/>
          <w:szCs w:val="16"/>
          <w:lang w:val="bg-BG"/>
        </w:rPr>
        <w:t>С</w:t>
      </w:r>
      <w:r>
        <w:rPr>
          <w:b/>
          <w:i/>
          <w:sz w:val="16"/>
          <w:szCs w:val="16"/>
          <w:lang w:val="ru-RU"/>
        </w:rPr>
        <w:t>ъхранява</w:t>
      </w:r>
      <w:r>
        <w:rPr>
          <w:b/>
          <w:i/>
          <w:sz w:val="16"/>
          <w:szCs w:val="16"/>
          <w:lang w:val="bg-BG"/>
        </w:rPr>
        <w:t xml:space="preserve"> се </w:t>
      </w:r>
      <w:r>
        <w:rPr>
          <w:b/>
          <w:i/>
          <w:sz w:val="16"/>
          <w:szCs w:val="16"/>
          <w:lang w:val="ru-RU"/>
        </w:rPr>
        <w:t xml:space="preserve"> в хладилник при </w:t>
      </w:r>
      <w:r>
        <w:rPr>
          <w:b/>
          <w:i/>
          <w:sz w:val="16"/>
          <w:szCs w:val="16"/>
          <w:lang w:val="bg-BG"/>
        </w:rPr>
        <w:t>-20</w:t>
      </w:r>
      <w:r>
        <w:rPr>
          <w:b/>
          <w:i/>
          <w:sz w:val="16"/>
          <w:szCs w:val="16"/>
          <w:vertAlign w:val="superscript"/>
          <w:lang w:val="ru-RU"/>
        </w:rPr>
        <w:t xml:space="preserve">0 </w:t>
      </w:r>
      <w:r>
        <w:rPr>
          <w:b/>
          <w:i/>
          <w:sz w:val="16"/>
          <w:szCs w:val="16"/>
          <w:lang w:val="ru-RU"/>
        </w:rPr>
        <w:t>С</w:t>
      </w:r>
      <w:r>
        <w:rPr>
          <w:i/>
          <w:sz w:val="16"/>
          <w:szCs w:val="16"/>
          <w:lang w:val="bg-BG"/>
        </w:rPr>
        <w:t xml:space="preserve">. </w:t>
      </w:r>
      <w:r>
        <w:rPr>
          <w:b/>
          <w:i/>
          <w:sz w:val="16"/>
          <w:szCs w:val="16"/>
          <w:lang w:val="ru-RU"/>
        </w:rPr>
        <w:t>Транспортирането на замразения материал трябва да става непосредствено след изваждането му от хладилната камера</w:t>
      </w:r>
      <w:r>
        <w:rPr>
          <w:b/>
          <w:i/>
          <w:sz w:val="16"/>
          <w:szCs w:val="16"/>
          <w:lang w:val="bg-BG"/>
        </w:rPr>
        <w:t xml:space="preserve"> на сух лед.</w:t>
      </w:r>
    </w:p>
    <w:p>
      <w:pPr>
        <w:pStyle w:val="Normal"/>
        <w:jc w:val="both"/>
        <w:rPr>
          <w:i/>
          <w:sz w:val="16"/>
          <w:szCs w:val="16"/>
          <w:lang w:val="ru-RU"/>
        </w:rPr>
      </w:pPr>
      <w:r>
        <w:rPr>
          <w:b/>
          <w:i/>
          <w:sz w:val="16"/>
          <w:szCs w:val="16"/>
          <w:lang w:val="bg-BG"/>
        </w:rPr>
        <w:t xml:space="preserve">3. </w:t>
      </w:r>
      <w:r>
        <w:rPr>
          <w:b/>
          <w:i/>
          <w:sz w:val="16"/>
          <w:szCs w:val="16"/>
          <w:lang w:val="ru-RU"/>
        </w:rPr>
        <w:t>Изисквания за взимане на материал от туморно блокче (фиксирано във формалин туморна тъкан, включена в парафин):</w:t>
      </w:r>
    </w:p>
    <w:p>
      <w:pPr>
        <w:pStyle w:val="Normal"/>
        <w:jc w:val="both"/>
        <w:rPr>
          <w:i/>
          <w:sz w:val="16"/>
          <w:szCs w:val="24"/>
          <w:lang w:val="bg-BG"/>
        </w:rPr>
      </w:pPr>
      <w:r>
        <w:rPr>
          <w:i/>
          <w:sz w:val="16"/>
          <w:szCs w:val="24"/>
          <w:lang w:val="bg-BG"/>
        </w:rPr>
        <w:t xml:space="preserve">Необходими са 5 срези с дебелина 10 микрона от фиксирана в парафин туморна тъкан </w:t>
      </w:r>
      <w:r>
        <w:rPr>
          <w:i/>
          <w:sz w:val="16"/>
          <w:szCs w:val="24"/>
          <w:lang w:val="en-US"/>
        </w:rPr>
        <w:t>(FFPE)</w:t>
      </w:r>
      <w:r>
        <w:rPr>
          <w:i/>
          <w:sz w:val="16"/>
          <w:szCs w:val="24"/>
          <w:lang w:val="bg-BG"/>
        </w:rPr>
        <w:t>, с минимално съдържание на туморни клетки от 70% и по-възможност без некрози. Срезите от туморните блокчета на пациента се правят в патологична лаборатория и оценката на съдържанието на туморни клетки се прави от лекар-патолог. Материалът от срезите се поставя в епруветка от 1.5 мл, тип Епендорф, надписана с трите имена на пациента и дата на раждане и се изпраща в лабораторията, заедно с придружаващите документи (поръчка за ДНК анализ; информирано съгласие от пациента; епикризи от операцията/ите)</w:t>
      </w:r>
    </w:p>
    <w:p>
      <w:pPr>
        <w:pStyle w:val="Normal"/>
        <w:jc w:val="both"/>
        <w:rPr>
          <w:b/>
          <w:i/>
          <w:sz w:val="16"/>
          <w:szCs w:val="24"/>
          <w:lang w:val="bg-BG"/>
        </w:rPr>
      </w:pPr>
      <w:r>
        <w:rPr>
          <w:b/>
          <w:i/>
          <w:sz w:val="16"/>
          <w:szCs w:val="24"/>
          <w:lang w:val="bg-BG"/>
        </w:rPr>
        <w:t>4. Изисквания за ДНК материал*</w:t>
      </w:r>
    </w:p>
    <w:p>
      <w:pPr>
        <w:pStyle w:val="Normal"/>
        <w:jc w:val="both"/>
        <w:rPr>
          <w:i/>
          <w:sz w:val="16"/>
          <w:szCs w:val="24"/>
          <w:lang w:val="bg-BG"/>
        </w:rPr>
      </w:pPr>
      <w:r>
        <w:rPr>
          <w:i/>
          <w:sz w:val="16"/>
          <w:szCs w:val="24"/>
          <w:lang w:val="bg-BG"/>
        </w:rPr>
        <w:t>Предпочитано количество: 5 µg (минимум 3 µg) пречистена ДНК проба с концентрация не по-ниска от 50ng/µl. За тестове, изискващи повторно или допълнително секвениране на гени, може да е необходимо изпращане на допълнително количество от ДНК пробата. Необходимото количество ДНК се аликвотира в 1.5 ml епруветка тип Епендорф или епруветка с капачка на винт. Необходимо е да се отбележи на епруветката в какво е разтворена ДНК пробата (вода или буфер), концентрацията й, трите имена на пациента (печатно), идентификационен номер (ако има такъв) и датата на раждане.  Заедно с материала се изпращат придружаващите документи (поръчка за ДНК анализ; информирано съгласие от пациента; епикризи от операцията/ите).</w:t>
      </w:r>
    </w:p>
    <w:p>
      <w:pPr>
        <w:pStyle w:val="Normal"/>
        <w:rPr>
          <w:b/>
          <w:i/>
          <w:sz w:val="16"/>
          <w:szCs w:val="24"/>
          <w:lang w:val="bg-BG"/>
        </w:rPr>
      </w:pPr>
      <w:r>
        <w:rPr>
          <w:b/>
          <w:i/>
          <w:sz w:val="16"/>
          <w:szCs w:val="24"/>
          <w:lang w:val="bg-BG"/>
        </w:rPr>
      </w:r>
    </w:p>
    <w:p>
      <w:pPr>
        <w:pStyle w:val="Normal"/>
        <w:jc w:val="both"/>
        <w:rPr>
          <w:i/>
          <w:sz w:val="16"/>
          <w:szCs w:val="24"/>
          <w:lang w:val="bg-BG"/>
        </w:rPr>
      </w:pPr>
      <w:r>
        <w:rPr>
          <w:i/>
          <w:sz w:val="16"/>
          <w:szCs w:val="24"/>
          <w:lang w:val="bg-BG"/>
        </w:rPr>
        <w:t>* В предварителен анализ в лабораторията се проверяват концентрацията и качеството на ДНК пробата; ако пробата не е достатъчна, анализът не може да бъде проведен.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851" w:right="735" w:gutter="0" w:header="432" w:top="499" w:footer="0" w:bottom="851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Carlito">
    <w:altName w:val="Calibri"/>
    <w:charset w:val="01" w:characterSet="utf-8"/>
    <w:family w:val="roman"/>
    <w:pitch w:val="variable"/>
  </w:font>
  <w:font w:name="Calibri">
    <w:charset w:val="01" w:characterSet="utf-8"/>
    <w:family w:val="roman"/>
    <w:pitch w:val="variable"/>
  </w:font>
  <w:font w:name="Times New Roman">
    <w:charset w:val="01" w:characterSet="utf-8"/>
    <w:family w:val="roman"/>
    <w:pitch w:val="variable"/>
  </w:font>
  <w:font w:name="Timok">
    <w:charset w:val="01" w:characterSet="utf-8"/>
    <w:family w:val="swiss"/>
    <w:pitch w:val="variable"/>
  </w:font>
  <w:font w:name="ExcelciorCyr">
    <w:charset w:val="01" w:characterSet="utf-8"/>
    <w:family w:val="roman"/>
    <w:pitch w:val="variable"/>
  </w:font>
  <w:font w:name="TempusCyr">
    <w:charset w:val="01" w:characterSet="utf-8"/>
    <w:family w:val="roman"/>
    <w:pitch w:val="variable"/>
  </w:font>
  <w:font w:name="Segoe UI">
    <w:charset w:val="01" w:characterSet="utf-8"/>
    <w:family w:val="swiss"/>
    <w:pitch w:val="variable"/>
  </w:font>
  <w:font w:name="Carlito">
    <w:altName w:val="Calibri"/>
    <w:charset w:val="01" w:characterSet="utf-8"/>
    <w:family w:val="swiss"/>
    <w:pitch w:val="variable"/>
  </w:font>
  <w:font w:name="Segoe UI Symbol">
    <w:charset w:val="01" w:characterSet="utf-8"/>
    <w:family w:val="swiss"/>
    <w:pitch w:val="variable"/>
  </w:font>
  <w:font w:name="Arial Narrow">
    <w:charset w:val="01" w:characterSet="utf-8"/>
    <w:family w:val="swiss"/>
    <w:pitch w:val="variable"/>
  </w:font>
  <w:font w:name="Wingdings">
    <w:charset w:val="02"/>
    <w:family w:val="auto"/>
    <w:pitch w:val="default"/>
  </w:font>
  <w:font w:name="Courier New">
    <w:charset w:val="01"/>
    <w:family w:val="modern"/>
    <w:pitch w:val="fixed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ing3"/>
      <w:jc w:val="start"/>
      <w:rPr>
        <w:rFonts w:ascii="Arial Narrow" w:hAnsi="Arial Narrow" w:cs="Arial"/>
        <w:i/>
        <w:sz w:val="10"/>
        <w:szCs w:val="10"/>
        <w:lang w:val="en-GB"/>
      </w:rPr>
    </w:pPr>
    <w:r>
      <w:rPr>
        <w:rFonts w:cs="Arial" w:ascii="Arial Narrow" w:hAnsi="Arial Narrow"/>
        <w:i/>
        <w:sz w:val="10"/>
        <w:szCs w:val="10"/>
        <w:lang w:val="en-GB"/>
      </w:rPr>
      <w:drawing>
        <wp:anchor behindDoc="0" distT="0" distB="0" distL="0" distR="114300" simplePos="0" locked="0" layoutInCell="0" allowOverlap="1" relativeHeight="5">
          <wp:simplePos x="0" y="0"/>
          <wp:positionH relativeFrom="margin">
            <wp:align>left</wp:align>
          </wp:positionH>
          <wp:positionV relativeFrom="paragraph">
            <wp:posOffset>31750</wp:posOffset>
          </wp:positionV>
          <wp:extent cx="1280160" cy="382270"/>
          <wp:effectExtent l="0" t="0" r="0" b="0"/>
          <wp:wrapTight wrapText="left">
            <wp:wrapPolygon edited="0">
              <wp:start x="642" y="0"/>
              <wp:lineTo x="0" y="7535"/>
              <wp:lineTo x="0" y="20451"/>
              <wp:lineTo x="21212" y="20451"/>
              <wp:lineTo x="21212" y="0"/>
              <wp:lineTo x="8035" y="0"/>
              <wp:lineTo x="642" y="0"/>
            </wp:wrapPolygon>
          </wp:wrapTight>
          <wp:docPr id="3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0" distT="0" distB="0" distL="114300" distR="114300" simplePos="0" locked="0" layoutInCell="0" allowOverlap="1" relativeHeight="10">
          <wp:simplePos x="0" y="0"/>
          <wp:positionH relativeFrom="column">
            <wp:posOffset>4860925</wp:posOffset>
          </wp:positionH>
          <wp:positionV relativeFrom="paragraph">
            <wp:posOffset>33655</wp:posOffset>
          </wp:positionV>
          <wp:extent cx="1256030" cy="423545"/>
          <wp:effectExtent l="0" t="0" r="0" b="0"/>
          <wp:wrapTight wrapText="bothSides">
            <wp:wrapPolygon edited="0">
              <wp:start x="3603" y="0"/>
              <wp:lineTo x="0" y="971"/>
              <wp:lineTo x="0" y="15543"/>
              <wp:lineTo x="982" y="20402"/>
              <wp:lineTo x="2947" y="20402"/>
              <wp:lineTo x="21292" y="18458"/>
              <wp:lineTo x="21292" y="1943"/>
              <wp:lineTo x="5567" y="0"/>
              <wp:lineTo x="3603" y="0"/>
            </wp:wrapPolygon>
          </wp:wrapTight>
          <wp:docPr id="4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3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keepNext w:val="true"/>
      <w:numPr>
        <w:ilvl w:val="0"/>
        <w:numId w:val="0"/>
      </w:numPr>
      <w:spacing w:before="0" w:after="0"/>
      <w:ind w:firstLine="360" w:start="45"/>
      <w:contextualSpacing/>
      <w:jc w:val="center"/>
      <w:outlineLvl w:val="2"/>
      <w:rPr>
        <w:rFonts w:ascii="Arial Narrow" w:hAnsi="Arial Narrow" w:cs="Arial"/>
        <w:b/>
        <w:lang w:val="en-GB" w:eastAsia="en-US"/>
      </w:rPr>
    </w:pPr>
    <w:bookmarkStart w:id="8" w:name="_Hlk216862029"/>
    <w:bookmarkStart w:id="9" w:name="_Hlk216862028"/>
    <w:bookmarkStart w:id="10" w:name="_Hlk216862025"/>
    <w:bookmarkStart w:id="11" w:name="_Hlk216862024"/>
    <w:bookmarkStart w:id="12" w:name="_Hlk216862022"/>
    <w:bookmarkStart w:id="13" w:name="_Hlk216862021"/>
    <w:bookmarkStart w:id="14" w:name="_Hlk216861683"/>
    <w:bookmarkStart w:id="15" w:name="_Hlk216861682"/>
    <w:bookmarkStart w:id="16" w:name="_Hlk216861663"/>
    <w:bookmarkStart w:id="17" w:name="_Hlk216861662"/>
    <w:bookmarkStart w:id="18" w:name="_Hlk216859237"/>
    <w:bookmarkStart w:id="19" w:name="_Hlk216859236"/>
    <w:bookmarkStart w:id="20" w:name="_Hlk216859216"/>
    <w:bookmarkStart w:id="21" w:name="_Hlk216859215"/>
    <w:r>
      <w:drawing>
        <wp:anchor behindDoc="0" distT="0" distB="0" distL="114300" distR="114300" simplePos="0" locked="0" layoutInCell="0" allowOverlap="1" relativeHeight="6">
          <wp:simplePos x="0" y="0"/>
          <wp:positionH relativeFrom="column">
            <wp:posOffset>-30480</wp:posOffset>
          </wp:positionH>
          <wp:positionV relativeFrom="paragraph">
            <wp:posOffset>1905</wp:posOffset>
          </wp:positionV>
          <wp:extent cx="1280160" cy="382270"/>
          <wp:effectExtent l="0" t="0" r="0" b="0"/>
          <wp:wrapThrough wrapText="left">
            <wp:wrapPolygon edited="0">
              <wp:start x="642" y="0"/>
              <wp:lineTo x="0" y="7535"/>
              <wp:lineTo x="0" y="20451"/>
              <wp:lineTo x="21212" y="20451"/>
              <wp:lineTo x="21212" y="0"/>
              <wp:lineTo x="8035" y="0"/>
              <wp:lineTo x="642" y="0"/>
            </wp:wrapPolygon>
          </wp:wrapThrough>
          <wp:docPr id="5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6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280160" cy="382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  <w:drawing>
        <wp:anchor behindDoc="0" distT="0" distB="0" distL="114300" distR="114300" simplePos="0" locked="0" layoutInCell="0" allowOverlap="1" relativeHeight="11">
          <wp:simplePos x="0" y="0"/>
          <wp:positionH relativeFrom="column">
            <wp:posOffset>4850130</wp:posOffset>
          </wp:positionH>
          <wp:positionV relativeFrom="paragraph">
            <wp:posOffset>-19685</wp:posOffset>
          </wp:positionV>
          <wp:extent cx="1256030" cy="423545"/>
          <wp:effectExtent l="0" t="0" r="0" b="0"/>
          <wp:wrapThrough wrapText="bothSides">
            <wp:wrapPolygon edited="0">
              <wp:start x="3603" y="0"/>
              <wp:lineTo x="0" y="971"/>
              <wp:lineTo x="0" y="15543"/>
              <wp:lineTo x="982" y="20402"/>
              <wp:lineTo x="2947" y="20402"/>
              <wp:lineTo x="21292" y="18458"/>
              <wp:lineTo x="21292" y="1943"/>
              <wp:lineTo x="5567" y="0"/>
              <wp:lineTo x="3603" y="0"/>
            </wp:wrapPolygon>
          </wp:wrapThrough>
          <wp:docPr id="6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5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1256030" cy="423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cs="Arial" w:ascii="Arial Narrow" w:hAnsi="Arial Narrow"/>
        <w:b/>
        <w:lang w:eastAsia="en-US"/>
      </w:rPr>
      <w:t>Катедра по</w:t>
    </w:r>
    <w:r>
      <w:rPr>
        <w:rFonts w:cs="Arial" w:ascii="Arial Narrow" w:hAnsi="Arial Narrow"/>
        <w:b/>
        <w:lang w:val="en-US" w:eastAsia="en-US"/>
      </w:rPr>
      <w:t xml:space="preserve"> </w:t>
    </w:r>
    <w:r>
      <w:rPr>
        <w:rFonts w:cs="Arial" w:ascii="Arial Narrow" w:hAnsi="Arial Narrow"/>
        <w:b/>
        <w:lang w:val="en-GB" w:eastAsia="en-US"/>
      </w:rPr>
      <w:t xml:space="preserve">Медицинска Химия и Биохимия, Медицински Факултет, </w:t>
    </w:r>
    <w:r>
      <w:rPr>
        <w:rFonts w:cs="Arial" w:ascii="Arial Narrow" w:hAnsi="Arial Narrow"/>
        <w:b/>
        <w:lang w:val="ru-RU" w:eastAsia="en-US"/>
      </w:rPr>
      <w:t>Медицински Университет – София</w:t>
    </w:r>
  </w:p>
  <w:p>
    <w:pPr>
      <w:pStyle w:val="Normal"/>
      <w:keepNext w:val="true"/>
      <w:numPr>
        <w:ilvl w:val="0"/>
        <w:numId w:val="0"/>
      </w:numPr>
      <w:pBdr>
        <w:bottom w:val="single" w:sz="6" w:space="1" w:color="000000"/>
      </w:pBdr>
      <w:spacing w:before="0" w:after="0"/>
      <w:ind w:start="-284" w:end="-286"/>
      <w:contextualSpacing/>
      <w:jc w:val="center"/>
      <w:outlineLvl w:val="2"/>
      <w:rPr>
        <w:rFonts w:ascii="Arial Narrow" w:hAnsi="Arial Narrow" w:cs="Arial"/>
        <w:b/>
        <w:lang w:val="en-GB" w:eastAsia="en-US"/>
      </w:rPr>
    </w:pPr>
    <w:r>
      <w:rPr>
        <w:rFonts w:cs="Arial" w:ascii="Arial Narrow" w:hAnsi="Arial Narrow"/>
        <w:bCs/>
        <w:iCs/>
        <w:lang w:val="en-GB" w:eastAsia="en-US"/>
      </w:rPr>
      <w:t>ул</w:t>
    </w:r>
    <w:r>
      <w:rPr>
        <w:rFonts w:eastAsia="Arial Unicode MS" w:cs="Arial" w:ascii="Arial Narrow" w:hAnsi="Arial Narrow"/>
        <w:bCs/>
        <w:iCs/>
        <w:lang w:val="en-GB" w:eastAsia="en-US"/>
      </w:rPr>
      <w:t xml:space="preserve">. “Здраве” № </w:t>
    </w:r>
    <w:r>
      <w:rPr>
        <w:rFonts w:eastAsia="Arial Unicode MS" w:cs="Arial" w:ascii="Arial Narrow" w:hAnsi="Arial Narrow"/>
        <w:bCs/>
        <w:iCs/>
        <w:lang w:val="ru-RU" w:eastAsia="en-US"/>
      </w:rPr>
      <w:t xml:space="preserve">2, </w:t>
    </w:r>
    <w:r>
      <w:rPr>
        <w:rFonts w:eastAsia="Arial Unicode MS" w:cs="Arial" w:ascii="Arial Narrow" w:hAnsi="Arial Narrow"/>
        <w:bCs/>
        <w:iCs/>
        <w:lang w:val="en-GB" w:eastAsia="en-US"/>
      </w:rPr>
      <w:t>гр. София 1431; Тел: (+359) 2 9172 264;</w:t>
    </w:r>
    <w:r>
      <w:rPr>
        <w:rFonts w:eastAsia="Arial Unicode MS" w:cs="Arial" w:ascii="Arial Narrow" w:hAnsi="Arial Narrow"/>
        <w:bCs/>
        <w:iCs/>
        <w:lang w:val="en-US" w:eastAsia="en-US"/>
      </w:rPr>
      <w:t xml:space="preserve"> </w:t>
    </w:r>
    <w:r>
      <w:rPr>
        <w:rFonts w:eastAsia="Arial Unicode MS" w:cs="Arial" w:ascii="Arial Narrow" w:hAnsi="Arial Narrow"/>
        <w:bCs/>
        <w:iCs/>
        <w:lang w:val="en-GB" w:eastAsia="en-US"/>
      </w:rPr>
      <w:t xml:space="preserve">Web: </w:t>
    </w:r>
    <w:hyperlink r:id="rId3">
      <w:r>
        <w:rPr>
          <w:rStyle w:val="Style7"/>
          <w:rFonts w:eastAsia="Arial Unicode MS" w:cs="Arial" w:ascii="Arial Narrow" w:hAnsi="Arial Narrow"/>
          <w:bCs/>
          <w:iCs/>
          <w:color w:val="0000FF"/>
          <w:u w:val="single"/>
          <w:lang w:val="en-GB" w:eastAsia="en-US"/>
        </w:rPr>
        <w:t>www.mmcbg.org</w:t>
      </w:r>
    </w:hyperlink>
    <w:r>
      <w:rPr>
        <w:rFonts w:eastAsia="Arial Unicode MS" w:cs="Arial" w:ascii="Arial Narrow" w:hAnsi="Arial Narrow"/>
        <w:bCs/>
        <w:iCs/>
        <w:lang w:val="en-GB" w:eastAsia="en-US"/>
      </w:rPr>
      <w:t>; Еmail: diagnostics</w:t>
    </w:r>
    <w:r>
      <w:rPr>
        <w:rFonts w:eastAsia="Arial Unicode MS" w:cs="Arial" w:ascii="Arial Narrow" w:hAnsi="Arial Narrow"/>
        <w:bCs/>
        <w:iCs/>
        <w:lang w:val="ru-RU" w:eastAsia="en-US"/>
      </w:rPr>
      <w:t>@</w:t>
    </w:r>
    <w:r>
      <w:rPr>
        <w:rFonts w:eastAsia="Arial Unicode MS" w:cs="Arial" w:ascii="Arial Narrow" w:hAnsi="Arial Narrow"/>
        <w:bCs/>
        <w:iCs/>
        <w:lang w:val="en-GB" w:eastAsia="en-US"/>
      </w:rPr>
      <w:t>mmcbg.org</w:t>
    </w:r>
    <w:bookmarkEnd w:id="8"/>
    <w:bookmarkEnd w:id="9"/>
    <w:bookmarkEnd w:id="10"/>
    <w:bookmarkEnd w:id="11"/>
    <w:bookmarkEnd w:id="12"/>
    <w:bookmarkEnd w:id="13"/>
    <w:bookmarkEnd w:id="14"/>
    <w:bookmarkEnd w:id="15"/>
    <w:bookmarkEnd w:id="16"/>
    <w:bookmarkEnd w:id="17"/>
    <w:bookmarkEnd w:id="18"/>
    <w:bookmarkEnd w:id="19"/>
    <w:bookmarkEnd w:id="20"/>
    <w:bookmarkEnd w:id="21"/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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  <w:b w:val="false"/>
        <w:sz w:val="24"/>
        <w:szCs w:val="24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start"/>
      <w:pPr>
        <w:tabs>
          <w:tab w:val="num" w:pos="0"/>
        </w:tabs>
        <w:ind w:star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4">
    <w:lvl w:ilvl="0">
      <w:numFmt w:val="bullet"/>
      <w:lvlText w:val="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4"/>
      <w:numFmt w:val="bullet"/>
      <w:lvlText w:val=""/>
      <w:lvlJc w:val="start"/>
      <w:pPr>
        <w:tabs>
          <w:tab w:val="num" w:pos="0"/>
        </w:tabs>
        <w:ind w:start="4188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7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14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1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28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36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43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0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5760" w:hanging="360"/>
      </w:pPr>
      <w:rPr>
        <w:rFonts w:ascii="Wingdings" w:hAnsi="Wingdings" w:cs="Wingdings" w:hint="default"/>
      </w:rPr>
    </w:lvl>
  </w:abstractNum>
  <w:abstractNum w:abstractNumId="6">
    <w:lvl w:ilvl="0">
      <w:numFmt w:val="bullet"/>
      <w:lvlText w:val="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abstractNum w:abstractNumId="7">
    <w:lvl w:ilvl="0">
      <w:numFmt w:val="bullet"/>
      <w:lvlText w:val=""/>
      <w:lvlJc w:val="start"/>
      <w:pPr>
        <w:tabs>
          <w:tab w:val="num" w:pos="0"/>
        </w:tabs>
        <w:ind w:start="12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7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34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8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5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7020" w:hanging="360"/>
      </w:pPr>
      <w:rPr>
        <w:rFonts w:ascii="Wingdings" w:hAnsi="Wingdings" w:cs="Wingdings" w:hint="default"/>
      </w:rPr>
    </w:lvl>
  </w:abstractNum>
  <w:abstractNum w:abstractNumId="8">
    <w:lvl w:ilvl="0">
      <w:numFmt w:val="bullet"/>
      <w:lvlText w:val=""/>
      <w:lvlJc w:val="start"/>
      <w:pPr>
        <w:tabs>
          <w:tab w:val="num" w:pos="0"/>
        </w:tabs>
        <w:ind w:star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semiHidden="1" w:unhideWhenUsed="1" w:qFormat="1"/>
    <w:lsdException w:name="heading 3" w:uiPriority="0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0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b07ec1"/>
    <w:pPr>
      <w:widowControl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en-AU" w:eastAsia="bg-BG" w:bidi="ar-SA"/>
    </w:rPr>
  </w:style>
  <w:style w:type="paragraph" w:styleId="Heading1">
    <w:name w:val="heading 1"/>
    <w:basedOn w:val="Normal"/>
    <w:next w:val="Normal"/>
    <w:link w:val="Heading1Char"/>
    <w:qFormat/>
    <w:rsid w:val="004778af"/>
    <w:pPr>
      <w:keepNext w:val="true"/>
      <w:outlineLvl w:val="0"/>
    </w:pPr>
    <w:rPr>
      <w:rFonts w:ascii="Timok" w:hAnsi="Timok"/>
      <w:b/>
      <w:i/>
      <w:sz w:val="18"/>
      <w:lang w:val="en-US" w:eastAsia="en-US"/>
    </w:rPr>
  </w:style>
  <w:style w:type="paragraph" w:styleId="Heading3">
    <w:name w:val="heading 3"/>
    <w:basedOn w:val="Normal"/>
    <w:next w:val="Normal"/>
    <w:link w:val="Heading3Char"/>
    <w:qFormat/>
    <w:rsid w:val="004778af"/>
    <w:pPr>
      <w:keepNext w:val="true"/>
      <w:jc w:val="center"/>
      <w:outlineLvl w:val="2"/>
    </w:pPr>
    <w:rPr>
      <w:rFonts w:ascii="ExcelciorCyr" w:hAnsi="ExcelciorCyr"/>
      <w:b/>
      <w:lang w:val="bg-BG" w:eastAsia="en-US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link w:val="Heading1"/>
    <w:qFormat/>
    <w:rsid w:val="004778af"/>
    <w:rPr>
      <w:rFonts w:ascii="Timok" w:hAnsi="Timok" w:eastAsia="Times New Roman" w:cs="Times New Roman"/>
      <w:b/>
      <w:i/>
      <w:sz w:val="18"/>
      <w:szCs w:val="20"/>
    </w:rPr>
  </w:style>
  <w:style w:type="character" w:styleId="Heading3Char" w:customStyle="1">
    <w:name w:val="Heading 3 Char"/>
    <w:basedOn w:val="DefaultParagraphFont"/>
    <w:link w:val="Heading3"/>
    <w:qFormat/>
    <w:rsid w:val="004778af"/>
    <w:rPr>
      <w:rFonts w:ascii="ExcelciorCyr" w:hAnsi="ExcelciorCyr" w:eastAsia="Times New Roman" w:cs="Times New Roman"/>
      <w:b/>
      <w:sz w:val="20"/>
      <w:szCs w:val="20"/>
      <w:lang w:val="bg-BG"/>
    </w:rPr>
  </w:style>
  <w:style w:type="character" w:styleId="BodyTextChar" w:customStyle="1">
    <w:name w:val="Body Text Char"/>
    <w:basedOn w:val="DefaultParagraphFont"/>
    <w:qFormat/>
    <w:rsid w:val="004778af"/>
    <w:rPr>
      <w:rFonts w:ascii="TempusCyr" w:hAnsi="TempusCyr" w:eastAsia="Times New Roman" w:cs="Times New Roman"/>
      <w:b/>
      <w:i/>
      <w:sz w:val="24"/>
      <w:szCs w:val="20"/>
      <w:lang w:val="bg-BG"/>
    </w:rPr>
  </w:style>
  <w:style w:type="character" w:styleId="HeaderChar" w:customStyle="1">
    <w:name w:val="Header Char"/>
    <w:basedOn w:val="DefaultParagraphFont"/>
    <w:link w:val="Header"/>
    <w:uiPriority w:val="99"/>
    <w:qFormat/>
    <w:rsid w:val="004778af"/>
    <w:rPr>
      <w:rFonts w:ascii="Times New Roman" w:hAnsi="Times New Roman" w:eastAsia="Times New Roman" w:cs="Times New Roman"/>
      <w:sz w:val="20"/>
      <w:szCs w:val="20"/>
      <w:lang w:val="en-AU" w:eastAsia="bg-BG"/>
    </w:rPr>
  </w:style>
  <w:style w:type="character" w:styleId="FooterChar" w:customStyle="1">
    <w:name w:val="Footer Char"/>
    <w:basedOn w:val="DefaultParagraphFont"/>
    <w:link w:val="Footer"/>
    <w:uiPriority w:val="99"/>
    <w:qFormat/>
    <w:rsid w:val="004778af"/>
    <w:rPr>
      <w:rFonts w:ascii="Times New Roman" w:hAnsi="Times New Roman" w:eastAsia="Times New Roman" w:cs="Times New Roman"/>
      <w:sz w:val="20"/>
      <w:szCs w:val="20"/>
      <w:lang w:val="en-AU" w:eastAsia="bg-BG"/>
    </w:rPr>
  </w:style>
  <w:style w:type="character" w:styleId="Hyperlink">
    <w:name w:val="Hyperlink"/>
    <w:basedOn w:val="DefaultParagraphFont"/>
    <w:uiPriority w:val="99"/>
    <w:rsid w:val="00f3004e"/>
    <w:rPr>
      <w:rFonts w:cs="Times New Roman"/>
      <w:color w:val="0000FF"/>
      <w:u w:val="single"/>
    </w:rPr>
  </w:style>
  <w:style w:type="character" w:styleId="HeaderChar1" w:customStyle="1">
    <w:name w:val="Header Char1"/>
    <w:uiPriority w:val="99"/>
    <w:qFormat/>
    <w:locked/>
    <w:rsid w:val="00894ed8"/>
    <w:rPr>
      <w:lang w:val="en-AU" w:eastAsia="x-none"/>
    </w:rPr>
  </w:style>
  <w:style w:type="character" w:styleId="BalloonTextChar" w:customStyle="1">
    <w:name w:val="Balloon Text Char"/>
    <w:basedOn w:val="DefaultParagraphFont"/>
    <w:link w:val="BalloonText"/>
    <w:uiPriority w:val="99"/>
    <w:semiHidden/>
    <w:qFormat/>
    <w:rsid w:val="00a20958"/>
    <w:rPr>
      <w:rFonts w:ascii="Segoe UI" w:hAnsi="Segoe UI" w:eastAsia="Times New Roman" w:cs="Segoe UI"/>
      <w:sz w:val="18"/>
      <w:szCs w:val="18"/>
      <w:lang w:val="en-AU" w:eastAsia="bg-BG"/>
    </w:rPr>
  </w:style>
  <w:style w:type="character" w:styleId="apple-tab-span" w:customStyle="1">
    <w:name w:val="apple-tab-span"/>
    <w:basedOn w:val="DefaultParagraphFont"/>
    <w:qFormat/>
    <w:rsid w:val="00750b1a"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Carlito" w:hAnsi="Carlito" w:eastAsia="Noto Sans SC Regular" w:cs="Noto Sans"/>
      <w:sz w:val="28"/>
      <w:szCs w:val="28"/>
    </w:rPr>
  </w:style>
  <w:style w:type="paragraph" w:styleId="BodyText">
    <w:name w:val="Body Text"/>
    <w:basedOn w:val="Normal"/>
    <w:link w:val="BodyTextChar"/>
    <w:rsid w:val="004778af"/>
    <w:pPr>
      <w:jc w:val="both"/>
    </w:pPr>
    <w:rPr>
      <w:rFonts w:ascii="TempusCyr" w:hAnsi="TempusCyr"/>
      <w:b/>
      <w:i/>
      <w:sz w:val="24"/>
      <w:lang w:val="bg-BG" w:eastAsia="en-US"/>
    </w:rPr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HeaderChar"/>
    <w:uiPriority w:val="99"/>
    <w:rsid w:val="004778af"/>
    <w:pPr>
      <w:tabs>
        <w:tab w:val="clear" w:pos="720"/>
        <w:tab w:val="center" w:pos="4703" w:leader="none"/>
        <w:tab w:val="right" w:pos="9406" w:leader="none"/>
      </w:tabs>
    </w:pPr>
    <w:rPr/>
  </w:style>
  <w:style w:type="paragraph" w:styleId="Footer">
    <w:name w:val="footer"/>
    <w:basedOn w:val="Normal"/>
    <w:link w:val="FooterChar"/>
    <w:uiPriority w:val="99"/>
    <w:unhideWhenUsed/>
    <w:rsid w:val="004778af"/>
    <w:pPr>
      <w:tabs>
        <w:tab w:val="clear" w:pos="720"/>
        <w:tab w:val="center" w:pos="4536" w:leader="none"/>
        <w:tab w:val="right" w:pos="9072" w:leader="none"/>
      </w:tabs>
    </w:pPr>
    <w:rPr/>
  </w:style>
  <w:style w:type="paragraph" w:styleId="ListParagraph">
    <w:name w:val="List Paragraph"/>
    <w:basedOn w:val="Normal"/>
    <w:uiPriority w:val="34"/>
    <w:qFormat/>
    <w:rsid w:val="00e00ffc"/>
    <w:pPr>
      <w:spacing w:before="0" w:after="0"/>
      <w:ind w:start="720"/>
      <w:contextualSpacing/>
    </w:pPr>
    <w:rPr/>
  </w:style>
  <w:style w:type="paragraph" w:styleId="CharCharChar1Char" w:customStyle="1">
    <w:name w:val="Char Char Char1 Char"/>
    <w:basedOn w:val="Normal"/>
    <w:qFormat/>
    <w:rsid w:val="009b44dd"/>
    <w:pPr/>
    <w:rPr>
      <w:sz w:val="24"/>
      <w:szCs w:val="24"/>
      <w:lang w:val="pl-PL" w:eastAsia="pl-PL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a20958"/>
    <w:pPr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qFormat/>
    <w:rsid w:val="00750b1a"/>
    <w:pPr>
      <w:spacing w:beforeAutospacing="1" w:afterAutospacing="1"/>
    </w:pPr>
    <w:rPr>
      <w:sz w:val="24"/>
      <w:szCs w:val="24"/>
      <w:lang w:val="en-US" w:eastAsia="en-US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39"/>
    <w:rsid w:val="00030137"/>
    <w:pPr>
      <w:spacing w:after="0" w:line="240" w:lineRule="auto"/>
    </w:pPr>
    <w:rPr>
      <w:lang w:val="bg-BG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<Relationship Id="rId9" Type="http://schemas.openxmlformats.org/officeDocument/2006/relationships/customXml" Target="../customXml/item1.xm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hyperlink" Target="http://www.mmcbg.org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6138A54-AFED-4391-B376-8595CF84B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1275</TotalTime>
  <Application>Collabora_Office/25.04.7.3$Linux_X86_64 LibreOffice_project/4ad7ba32450f0eb1454046b82758d431ed76787a</Application>
  <AppVersion>15.0000</AppVersion>
  <Pages>2</Pages>
  <Words>2482</Words>
  <Characters>15396</Characters>
  <CharactersWithSpaces>18186</CharactersWithSpaces>
  <Paragraphs>229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2021-04-15T08:36:00Z</dcterms:created>
  <dc:creator>Rumy</dc:creator>
  <dc:description/>
  <dc:language>en-GB</dc:language>
  <cp:lastModifiedBy>Гергана Станчева</cp:lastModifiedBy>
  <cp:lastPrinted>2023-12-20T09:39:00Z</cp:lastPrinted>
  <dcterms:modified xsi:type="dcterms:W3CDTF">2025-12-17T10:24:00Z</dcterms:modified>
  <cp:revision>88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